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213" w14:textId="0ED1F40C" w:rsidR="00E8223C" w:rsidRDefault="00E8223C">
      <w:pPr>
        <w:rPr>
          <w:b/>
          <w:bCs/>
          <w:sz w:val="24"/>
          <w:szCs w:val="24"/>
        </w:rPr>
      </w:pPr>
      <w:r w:rsidRPr="000971C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78C2E7A" wp14:editId="6F2020F4">
            <wp:extent cx="5400040" cy="11214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E033" w14:textId="3DBE857F" w:rsidR="00825236" w:rsidRDefault="00B47FA6">
      <w:pPr>
        <w:rPr>
          <w:b/>
          <w:bCs/>
          <w:sz w:val="24"/>
          <w:szCs w:val="24"/>
        </w:rPr>
      </w:pPr>
      <w:r w:rsidRPr="00B47FA6">
        <w:rPr>
          <w:b/>
          <w:bCs/>
          <w:sz w:val="24"/>
          <w:szCs w:val="24"/>
        </w:rPr>
        <w:t>CRITERIOS DE SELECCIÓN DE PACIENTES</w:t>
      </w:r>
    </w:p>
    <w:p w14:paraId="4EAE7D28" w14:textId="77777777" w:rsidR="00B47FA6" w:rsidRPr="00B47FA6" w:rsidRDefault="00B47FA6" w:rsidP="00B47FA6">
      <w:pPr>
        <w:pStyle w:val="Cuerpo"/>
        <w:spacing w:line="360" w:lineRule="auto"/>
        <w:ind w:firstLine="708"/>
        <w:jc w:val="both"/>
        <w:rPr>
          <w:rStyle w:val="Ninguno"/>
          <w:rFonts w:asciiTheme="minorHAnsi" w:eastAsia="Arial" w:hAnsiTheme="minorHAnsi" w:cstheme="minorHAnsi"/>
        </w:rPr>
      </w:pPr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>Criterios de inclusi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</w:rPr>
        <w:t>ó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  <w:lang w:val="de-DE"/>
        </w:rPr>
        <w:t>n:</w:t>
      </w:r>
      <w:r w:rsidRPr="00B47FA6">
        <w:rPr>
          <w:rStyle w:val="Ninguno"/>
          <w:rFonts w:asciiTheme="minorHAnsi" w:hAnsiTheme="minorHAnsi" w:cstheme="minorHAnsi"/>
          <w:lang w:val="pt-PT"/>
        </w:rPr>
        <w:t xml:space="preserve"> Pacientes de 18 o m</w:t>
      </w:r>
      <w:r w:rsidRPr="00B47FA6">
        <w:rPr>
          <w:rStyle w:val="Ninguno"/>
          <w:rFonts w:asciiTheme="minorHAnsi" w:hAnsiTheme="minorHAnsi" w:cstheme="minorHAnsi"/>
        </w:rPr>
        <w:t>á</w:t>
      </w:r>
      <w:proofErr w:type="spellStart"/>
      <w:r w:rsidRPr="00B47FA6">
        <w:rPr>
          <w:rStyle w:val="Ninguno"/>
          <w:rFonts w:asciiTheme="minorHAnsi" w:hAnsiTheme="minorHAnsi" w:cstheme="minorHAnsi"/>
          <w:lang w:val="en-US"/>
        </w:rPr>
        <w:t>s</w:t>
      </w:r>
      <w:proofErr w:type="spellEnd"/>
      <w:r w:rsidRPr="00B47FA6">
        <w:rPr>
          <w:rStyle w:val="Ninguno"/>
          <w:rFonts w:asciiTheme="minorHAnsi" w:hAnsiTheme="minorHAnsi" w:cstheme="minorHAnsi"/>
          <w:lang w:val="en-US"/>
        </w:rPr>
        <w:t xml:space="preserve"> a</w:t>
      </w:r>
      <w:proofErr w:type="spellStart"/>
      <w:r w:rsidRPr="00B47FA6">
        <w:rPr>
          <w:rStyle w:val="Ninguno"/>
          <w:rFonts w:asciiTheme="minorHAnsi" w:hAnsiTheme="minorHAnsi" w:cstheme="minorHAnsi"/>
        </w:rPr>
        <w:t>ños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, que cumplan los criterios de clasificación de AR (criterios 2010 ACR/EULAR o ACR1987) o de </w:t>
      </w:r>
      <w:proofErr w:type="spellStart"/>
      <w:r w:rsidRPr="00B47FA6">
        <w:rPr>
          <w:rStyle w:val="Ninguno"/>
          <w:rFonts w:asciiTheme="minorHAnsi" w:hAnsiTheme="minorHAnsi" w:cstheme="minorHAnsi"/>
        </w:rPr>
        <w:t>APs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(CASPAR), que acudan a controles en consultas externas de los hospitales participantes en el estudio. </w:t>
      </w:r>
    </w:p>
    <w:p w14:paraId="17044DA9" w14:textId="47BA7B83" w:rsidR="00B47FA6" w:rsidRPr="00B47FA6" w:rsidRDefault="00B47FA6" w:rsidP="00B47FA6">
      <w:pPr>
        <w:pStyle w:val="Cuerpo"/>
        <w:spacing w:line="360" w:lineRule="auto"/>
        <w:ind w:firstLine="708"/>
        <w:jc w:val="both"/>
        <w:rPr>
          <w:rStyle w:val="Ninguno"/>
          <w:rFonts w:asciiTheme="minorHAnsi" w:eastAsia="Arial" w:hAnsiTheme="minorHAnsi" w:cstheme="minorHAnsi"/>
        </w:rPr>
      </w:pPr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>Criterios de exclusi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</w:rPr>
        <w:t>ó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  <w:lang w:val="de-DE"/>
        </w:rPr>
        <w:t>n:</w:t>
      </w:r>
      <w:r w:rsidRPr="00B47FA6">
        <w:rPr>
          <w:rStyle w:val="Ninguno"/>
          <w:rFonts w:asciiTheme="minorHAnsi" w:hAnsiTheme="minorHAnsi" w:cstheme="minorHAnsi"/>
        </w:rPr>
        <w:t xml:space="preserve"> Pacientes con diagnóstico de fibromialgia. Pacientes con AR y EPID. Pacientes con insuficiencia cardiaca, neoplasia activa, enfermedades degenerativas neurológicas, hipotiroidismo o cualquier otra patología que el clínico considere que puede influir en la fatiga. Pacientes con incapacidad para el entendimiento de los cuestionarios empleados en el estudio.</w:t>
      </w:r>
    </w:p>
    <w:p w14:paraId="64AAC8E3" w14:textId="402B389F" w:rsidR="00B47FA6" w:rsidRDefault="00B47FA6" w:rsidP="00B47FA6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</w:rPr>
      </w:pPr>
    </w:p>
    <w:p w14:paraId="5527FE55" w14:textId="1F24E3B7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  <w:b/>
          <w:bCs/>
        </w:rPr>
      </w:pPr>
      <w:r w:rsidRPr="00B47FA6">
        <w:rPr>
          <w:rStyle w:val="Ninguno"/>
          <w:rFonts w:asciiTheme="minorHAnsi" w:hAnsiTheme="minorHAnsi" w:cstheme="minorHAnsi"/>
          <w:b/>
          <w:bCs/>
        </w:rPr>
        <w:t xml:space="preserve">TAMAÑO MUESTRAL: </w:t>
      </w:r>
    </w:p>
    <w:p w14:paraId="32DD0146" w14:textId="4E163550" w:rsidR="00481C24" w:rsidRPr="00481C24" w:rsidRDefault="00481C24" w:rsidP="00481C24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481C24">
        <w:rPr>
          <w:rStyle w:val="Ninguno"/>
          <w:rFonts w:asciiTheme="minorHAnsi" w:hAnsiTheme="minorHAnsi" w:cstheme="minorHAnsi"/>
        </w:rPr>
        <w:t>El número de pacientes a incluir para cada una de las dos patologías será de 215.</w:t>
      </w:r>
    </w:p>
    <w:p w14:paraId="6386A8F4" w14:textId="77777777" w:rsidR="00481C24" w:rsidRPr="00481C24" w:rsidRDefault="00481C24" w:rsidP="00481C24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481C24">
        <w:rPr>
          <w:rStyle w:val="Ninguno"/>
          <w:rFonts w:asciiTheme="minorHAnsi" w:hAnsiTheme="minorHAnsi" w:cstheme="minorHAnsi"/>
        </w:rPr>
        <w:t xml:space="preserve">Para ello se estima necesaria la participación de 12 centros. Se invitará a participar consecutivamente a los pacientes que acudan a las consultas de Reumatología de los hospitales participantes en el estudio hasta alcanzar estas cifras. Se buscará que en torno al 25% de los pacientes con AR y al 60% de pacientes con </w:t>
      </w:r>
      <w:proofErr w:type="spellStart"/>
      <w:r w:rsidRPr="00481C24">
        <w:rPr>
          <w:rStyle w:val="Ninguno"/>
          <w:rFonts w:asciiTheme="minorHAnsi" w:hAnsiTheme="minorHAnsi" w:cstheme="minorHAnsi"/>
        </w:rPr>
        <w:t>APs</w:t>
      </w:r>
      <w:proofErr w:type="spellEnd"/>
      <w:r w:rsidRPr="00481C24">
        <w:rPr>
          <w:rStyle w:val="Ninguno"/>
          <w:rFonts w:asciiTheme="minorHAnsi" w:hAnsiTheme="minorHAnsi" w:cstheme="minorHAnsi"/>
        </w:rPr>
        <w:t xml:space="preserve"> sean hombres y que estén representados todos los grupos de edad (en torno al 10-15% de los reclutados en cada centro sean menores de 40 y en torno al 20% mayores de 65) (distribuciones basadas en el estudio </w:t>
      </w:r>
      <w:proofErr w:type="spellStart"/>
      <w:r w:rsidRPr="00481C24">
        <w:rPr>
          <w:rStyle w:val="Ninguno"/>
          <w:rFonts w:asciiTheme="minorHAnsi" w:hAnsiTheme="minorHAnsi" w:cstheme="minorHAnsi"/>
        </w:rPr>
        <w:t>emAR</w:t>
      </w:r>
      <w:proofErr w:type="spellEnd"/>
      <w:r w:rsidRPr="00481C24">
        <w:rPr>
          <w:rStyle w:val="Ninguno"/>
          <w:rFonts w:asciiTheme="minorHAnsi" w:hAnsiTheme="minorHAnsi" w:cstheme="minorHAnsi"/>
        </w:rPr>
        <w:t xml:space="preserve"> II).</w:t>
      </w:r>
    </w:p>
    <w:p w14:paraId="2E6503E0" w14:textId="49521C6C" w:rsidR="00B47FA6" w:rsidRPr="00481C24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</w:rPr>
      </w:pPr>
    </w:p>
    <w:p w14:paraId="06E9876E" w14:textId="131AB9DF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  <w:b/>
          <w:bCs/>
        </w:rPr>
      </w:pPr>
      <w:r>
        <w:rPr>
          <w:rStyle w:val="Ninguno"/>
          <w:rFonts w:asciiTheme="minorHAnsi" w:hAnsiTheme="minorHAnsi" w:cstheme="minorHAnsi"/>
          <w:b/>
          <w:bCs/>
        </w:rPr>
        <w:t>VARIABLES Y MEDICIONES</w:t>
      </w:r>
      <w:r w:rsidRPr="00B47FA6">
        <w:rPr>
          <w:rStyle w:val="Ninguno"/>
          <w:rFonts w:asciiTheme="minorHAnsi" w:hAnsiTheme="minorHAnsi" w:cstheme="minorHAnsi"/>
          <w:b/>
          <w:bCs/>
        </w:rPr>
        <w:t>:</w:t>
      </w:r>
    </w:p>
    <w:p w14:paraId="47FD4E11" w14:textId="5B99D1EF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</w:rPr>
      </w:pPr>
      <w:r w:rsidRPr="00B47FA6">
        <w:rPr>
          <w:rStyle w:val="Ninguno"/>
          <w:rFonts w:asciiTheme="minorHAnsi" w:hAnsiTheme="minorHAnsi" w:cstheme="minorHAnsi"/>
          <w:u w:val="single"/>
        </w:rPr>
        <w:t>Variable principal:</w:t>
      </w:r>
      <w:r w:rsidRPr="00B47FA6">
        <w:rPr>
          <w:rStyle w:val="Ninguno"/>
          <w:rFonts w:asciiTheme="minorHAnsi" w:hAnsiTheme="minorHAnsi" w:cstheme="minorHAnsi"/>
        </w:rPr>
        <w:t xml:space="preserve"> fatiga, medida para AR y </w:t>
      </w:r>
      <w:proofErr w:type="spellStart"/>
      <w:r w:rsidRPr="00B47FA6">
        <w:rPr>
          <w:rStyle w:val="Ninguno"/>
          <w:rFonts w:asciiTheme="minorHAnsi" w:hAnsiTheme="minorHAnsi" w:cstheme="minorHAnsi"/>
        </w:rPr>
        <w:t>APs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por:</w:t>
      </w:r>
    </w:p>
    <w:p w14:paraId="5BA8CA79" w14:textId="477ED826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</w:rPr>
      </w:pPr>
      <w:r w:rsidRPr="00B47FA6">
        <w:rPr>
          <w:rStyle w:val="Ninguno"/>
          <w:rFonts w:asciiTheme="minorHAnsi" w:eastAsia="Arial" w:hAnsiTheme="minorHAnsi" w:cstheme="minorHAnsi"/>
        </w:rPr>
        <w:tab/>
        <w:t>-BRAF-NRS</w:t>
      </w:r>
    </w:p>
    <w:p w14:paraId="756C7E2A" w14:textId="2044DB05" w:rsidR="00B47FA6" w:rsidRPr="00B47FA6" w:rsidRDefault="00B47FA6" w:rsidP="00B47FA6">
      <w:pPr>
        <w:pStyle w:val="Cuerpo"/>
        <w:spacing w:line="360" w:lineRule="auto"/>
        <w:ind w:firstLine="708"/>
        <w:jc w:val="both"/>
        <w:rPr>
          <w:rStyle w:val="Ninguno"/>
          <w:rFonts w:asciiTheme="minorHAnsi" w:eastAsia="Arial" w:hAnsiTheme="minorHAnsi" w:cstheme="minorHAnsi"/>
          <w:vertAlign w:val="superscript"/>
        </w:rPr>
      </w:pPr>
      <w:r w:rsidRPr="00B47FA6">
        <w:rPr>
          <w:rStyle w:val="Ninguno"/>
          <w:rFonts w:asciiTheme="minorHAnsi" w:hAnsiTheme="minorHAnsi" w:cstheme="minorHAnsi"/>
        </w:rPr>
        <w:t>-FACIT-F</w:t>
      </w:r>
    </w:p>
    <w:p w14:paraId="5E30F4E9" w14:textId="0C930D4F" w:rsidR="00B47FA6" w:rsidRPr="00B47FA6" w:rsidRDefault="00B47FA6" w:rsidP="00B47FA6">
      <w:pPr>
        <w:pStyle w:val="Cuerpo"/>
        <w:spacing w:line="360" w:lineRule="auto"/>
        <w:ind w:firstLine="708"/>
        <w:jc w:val="both"/>
        <w:rPr>
          <w:rStyle w:val="Ninguno"/>
          <w:rFonts w:asciiTheme="minorHAnsi" w:eastAsia="Arial" w:hAnsiTheme="minorHAnsi" w:cstheme="minorHAnsi"/>
          <w:vertAlign w:val="superscript"/>
        </w:rPr>
      </w:pPr>
      <w:r w:rsidRPr="00B47FA6">
        <w:rPr>
          <w:rStyle w:val="Ninguno"/>
          <w:rFonts w:asciiTheme="minorHAnsi" w:hAnsiTheme="minorHAnsi" w:cstheme="minorHAnsi"/>
          <w:lang w:val="pt-PT"/>
        </w:rPr>
        <w:t>-Se usar</w:t>
      </w:r>
      <w:r w:rsidRPr="00B47FA6">
        <w:rPr>
          <w:rStyle w:val="Ninguno"/>
          <w:rFonts w:asciiTheme="minorHAnsi" w:hAnsiTheme="minorHAnsi" w:cstheme="minorHAnsi"/>
        </w:rPr>
        <w:t>á la escala BRAF-MDQ únicamente para la AR</w:t>
      </w:r>
    </w:p>
    <w:p w14:paraId="17307EF7" w14:textId="460BA327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  <w:u w:val="single"/>
        </w:rPr>
      </w:pPr>
      <w:r w:rsidRPr="00B47FA6">
        <w:rPr>
          <w:rStyle w:val="Ninguno"/>
          <w:rFonts w:asciiTheme="minorHAnsi" w:hAnsiTheme="minorHAnsi" w:cstheme="minorHAnsi"/>
          <w:u w:val="single"/>
        </w:rPr>
        <w:t xml:space="preserve"> Variables independientes:</w:t>
      </w:r>
    </w:p>
    <w:p w14:paraId="3A8387EC" w14:textId="77777777" w:rsidR="00B47FA6" w:rsidRPr="00B47FA6" w:rsidRDefault="00B47FA6" w:rsidP="00B47FA6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  <w:b/>
          <w:bCs/>
        </w:rPr>
      </w:pPr>
      <w:r w:rsidRPr="00B47FA6">
        <w:rPr>
          <w:rStyle w:val="Ninguno"/>
          <w:rFonts w:asciiTheme="minorHAnsi" w:eastAsia="Arial" w:hAnsiTheme="minorHAnsi" w:cstheme="minorHAnsi"/>
        </w:rPr>
        <w:tab/>
      </w:r>
      <w:r w:rsidRPr="00B47FA6">
        <w:rPr>
          <w:rStyle w:val="Ninguno"/>
          <w:rFonts w:asciiTheme="minorHAnsi" w:hAnsiTheme="minorHAnsi" w:cstheme="minorHAnsi"/>
          <w:b/>
          <w:bCs/>
          <w:lang w:val="en-US"/>
        </w:rPr>
        <w:t>-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  <w:lang w:val="en-US"/>
        </w:rPr>
        <w:t>Sociodemogr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</w:rPr>
        <w:t>á</w:t>
      </w:r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>ficas, antropom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</w:rPr>
        <w:t>étricas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</w:rPr>
        <w:t xml:space="preserve"> y 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</w:rPr>
        <w:t>há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>bitos de vida.</w:t>
      </w:r>
    </w:p>
    <w:p w14:paraId="6302396E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lastRenderedPageBreak/>
        <w:t>Edad (años)</w:t>
      </w:r>
    </w:p>
    <w:p w14:paraId="676222DA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Sexo (hombre/mujer)</w:t>
      </w:r>
    </w:p>
    <w:p w14:paraId="3ADFE2A2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Hábito tabáquico (fumador, exfumador, no fumador. En fumadores y exfumadores se recogerá el índice paquetes-año).</w:t>
      </w:r>
    </w:p>
    <w:p w14:paraId="3A0627BC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Índice de masa corporal</w:t>
      </w:r>
    </w:p>
    <w:p w14:paraId="192F2AB2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Nivel de estudios </w:t>
      </w:r>
    </w:p>
    <w:p w14:paraId="4185A882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Incapacidad (transitoria o permanente)</w:t>
      </w:r>
    </w:p>
    <w:p w14:paraId="3F9E65C2" w14:textId="77777777" w:rsidR="00B47FA6" w:rsidRPr="00B47FA6" w:rsidRDefault="00B47FA6" w:rsidP="00B47FA6">
      <w:pPr>
        <w:pStyle w:val="Cuerpo"/>
        <w:spacing w:line="360" w:lineRule="auto"/>
        <w:ind w:left="700"/>
        <w:jc w:val="both"/>
        <w:rPr>
          <w:rStyle w:val="Ninguno"/>
          <w:rFonts w:asciiTheme="minorHAnsi" w:eastAsia="Arial" w:hAnsiTheme="minorHAnsi" w:cstheme="minorHAnsi"/>
          <w:b/>
          <w:bCs/>
        </w:rPr>
      </w:pPr>
      <w:r w:rsidRPr="00B47FA6">
        <w:rPr>
          <w:rStyle w:val="Ninguno"/>
          <w:rFonts w:asciiTheme="minorHAnsi" w:hAnsiTheme="minorHAnsi" w:cstheme="minorHAnsi"/>
          <w:b/>
          <w:bCs/>
        </w:rPr>
        <w:t>-</w:t>
      </w:r>
      <w:r w:rsidRPr="00B47FA6">
        <w:rPr>
          <w:rStyle w:val="Ninguno"/>
          <w:rFonts w:asciiTheme="minorHAnsi" w:hAnsiTheme="minorHAnsi" w:cstheme="minorHAnsi"/>
          <w:b/>
          <w:bCs/>
          <w:lang w:val="de-DE"/>
        </w:rPr>
        <w:t>Anal</w:t>
      </w:r>
      <w:r w:rsidRPr="00B47FA6">
        <w:rPr>
          <w:rStyle w:val="Ninguno"/>
          <w:rFonts w:asciiTheme="minorHAnsi" w:hAnsiTheme="minorHAnsi" w:cstheme="minorHAnsi"/>
          <w:b/>
          <w:bCs/>
        </w:rPr>
        <w:t>í</w:t>
      </w:r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 xml:space="preserve">ticas </w:t>
      </w:r>
    </w:p>
    <w:p w14:paraId="3AB297D9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En pacientes con AR: factor reumatoide y anticuerpos frente a péptidos/</w:t>
      </w:r>
      <w:proofErr w:type="gramStart"/>
      <w:r w:rsidRPr="00B47FA6">
        <w:rPr>
          <w:rStyle w:val="Ninguno"/>
          <w:rFonts w:asciiTheme="minorHAnsi" w:hAnsiTheme="minorHAnsi" w:cstheme="minorHAnsi"/>
        </w:rPr>
        <w:t>proteínas citrulinados</w:t>
      </w:r>
      <w:proofErr w:type="gramEnd"/>
      <w:r w:rsidRPr="00B47FA6">
        <w:rPr>
          <w:rStyle w:val="Ninguno"/>
          <w:rFonts w:asciiTheme="minorHAnsi" w:hAnsiTheme="minorHAnsi" w:cstheme="minorHAnsi"/>
        </w:rPr>
        <w:t xml:space="preserve"> (ACPA).</w:t>
      </w:r>
    </w:p>
    <w:p w14:paraId="70782789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Hemoglobina </w:t>
      </w:r>
    </w:p>
    <w:p w14:paraId="4C91AC74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Proteína C reactiva (PCR)</w:t>
      </w:r>
    </w:p>
    <w:p w14:paraId="0B91B762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Velocidad de sedimentación globular (VSG) </w:t>
      </w:r>
    </w:p>
    <w:p w14:paraId="7034EAE3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25-colecalciferol: se aceptará una determinación realizada en los últimos 6 meses.</w:t>
      </w:r>
    </w:p>
    <w:p w14:paraId="392400D3" w14:textId="00A5CD78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TSH: determinación en los últimos 12 meses.</w:t>
      </w:r>
    </w:p>
    <w:p w14:paraId="354069F5" w14:textId="77777777" w:rsidR="00B47FA6" w:rsidRPr="00B47FA6" w:rsidRDefault="00B47FA6" w:rsidP="00B47FA6">
      <w:pPr>
        <w:pStyle w:val="Cuerpo"/>
        <w:spacing w:line="360" w:lineRule="auto"/>
        <w:ind w:left="700"/>
        <w:jc w:val="both"/>
        <w:rPr>
          <w:rStyle w:val="Ninguno"/>
          <w:rFonts w:asciiTheme="minorHAnsi" w:eastAsia="Arial" w:hAnsiTheme="minorHAnsi" w:cstheme="minorHAnsi"/>
          <w:b/>
          <w:bCs/>
        </w:rPr>
      </w:pPr>
      <w:r w:rsidRPr="00B47FA6">
        <w:rPr>
          <w:rStyle w:val="Ninguno"/>
          <w:rFonts w:asciiTheme="minorHAnsi" w:hAnsiTheme="minorHAnsi" w:cstheme="minorHAnsi"/>
          <w:b/>
          <w:bCs/>
        </w:rPr>
        <w:t>-</w:t>
      </w:r>
      <w:proofErr w:type="spellStart"/>
      <w:r w:rsidRPr="00B47FA6">
        <w:rPr>
          <w:rStyle w:val="Ninguno"/>
          <w:rFonts w:asciiTheme="minorHAnsi" w:hAnsiTheme="minorHAnsi" w:cstheme="minorHAnsi"/>
          <w:b/>
          <w:bCs/>
        </w:rPr>
        <w:t>Clí</w:t>
      </w:r>
      <w:proofErr w:type="spellEnd"/>
      <w:r w:rsidRPr="00B47FA6">
        <w:rPr>
          <w:rStyle w:val="Ninguno"/>
          <w:rFonts w:asciiTheme="minorHAnsi" w:hAnsiTheme="minorHAnsi" w:cstheme="minorHAnsi"/>
          <w:b/>
          <w:bCs/>
          <w:lang w:val="pt-PT"/>
        </w:rPr>
        <w:t>nicas</w:t>
      </w:r>
    </w:p>
    <w:p w14:paraId="032DA48A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Número de articulaciones tumefactas</w:t>
      </w:r>
    </w:p>
    <w:p w14:paraId="090DEF05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Número de articulaciones dolorosas</w:t>
      </w:r>
    </w:p>
    <w:p w14:paraId="76973EB9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Valoración global de la actividad de la enfermedad por el médico</w:t>
      </w:r>
    </w:p>
    <w:p w14:paraId="234E40FA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Índices de actividad: DAS 28 para los pacientes con AR, DAPSA para los pacientes con </w:t>
      </w:r>
      <w:proofErr w:type="spellStart"/>
      <w:r w:rsidRPr="00B47FA6">
        <w:rPr>
          <w:rStyle w:val="Ninguno"/>
          <w:rFonts w:asciiTheme="minorHAnsi" w:hAnsiTheme="minorHAnsi" w:cstheme="minorHAnsi"/>
        </w:rPr>
        <w:t>APs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con afectación periférica, ASDAS-PCR para los pacientes con </w:t>
      </w:r>
      <w:proofErr w:type="spellStart"/>
      <w:r w:rsidRPr="00B47FA6">
        <w:rPr>
          <w:rStyle w:val="Ninguno"/>
          <w:rFonts w:asciiTheme="minorHAnsi" w:hAnsiTheme="minorHAnsi" w:cstheme="minorHAnsi"/>
        </w:rPr>
        <w:t>APs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con afectación axial.</w:t>
      </w:r>
    </w:p>
    <w:p w14:paraId="0C1F723E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Número de entesis dolorosas y superficie corporal afectada por la psoriasis cutánea (BSA) para los pacientes con </w:t>
      </w:r>
      <w:proofErr w:type="spellStart"/>
      <w:r w:rsidRPr="00B47FA6">
        <w:rPr>
          <w:rStyle w:val="Ninguno"/>
          <w:rFonts w:asciiTheme="minorHAnsi" w:hAnsiTheme="minorHAnsi" w:cstheme="minorHAnsi"/>
        </w:rPr>
        <w:t>APs</w:t>
      </w:r>
      <w:proofErr w:type="spellEnd"/>
    </w:p>
    <w:p w14:paraId="2D6E6993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Tratamiento actual:</w:t>
      </w:r>
    </w:p>
    <w:p w14:paraId="7FD4F6F4" w14:textId="77777777" w:rsidR="00B47FA6" w:rsidRPr="00B47FA6" w:rsidRDefault="00B47FA6" w:rsidP="00B47FA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Farmacológico: AINE, corticoides, FAME sintéticos (convencionales y dirigidos), FAME biológicos</w:t>
      </w:r>
    </w:p>
    <w:p w14:paraId="2812E494" w14:textId="77777777" w:rsidR="00B47FA6" w:rsidRPr="00B47FA6" w:rsidRDefault="00B47FA6" w:rsidP="00B47FA6">
      <w:pPr>
        <w:pStyle w:val="Prrafodelista"/>
        <w:numPr>
          <w:ilvl w:val="1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No farmacológico: fisioterapia y otros </w:t>
      </w:r>
    </w:p>
    <w:p w14:paraId="77D7D801" w14:textId="7777777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Supresión por ineficacia de 3 o más biológicos o sintéticos dirigidos, previa a la visita de estudio.</w:t>
      </w:r>
    </w:p>
    <w:p w14:paraId="2E86A131" w14:textId="77777777" w:rsidR="00B47FA6" w:rsidRPr="00B47FA6" w:rsidRDefault="00B47FA6" w:rsidP="00B47FA6">
      <w:pPr>
        <w:pStyle w:val="Cuerpo"/>
        <w:spacing w:line="360" w:lineRule="auto"/>
        <w:ind w:left="700"/>
        <w:jc w:val="both"/>
        <w:rPr>
          <w:rStyle w:val="Ninguno"/>
          <w:rFonts w:asciiTheme="minorHAnsi" w:eastAsia="Arial" w:hAnsiTheme="minorHAnsi" w:cstheme="minorHAnsi"/>
          <w:b/>
          <w:bCs/>
        </w:rPr>
      </w:pPr>
      <w:r w:rsidRPr="00B47FA6">
        <w:rPr>
          <w:rStyle w:val="Ninguno"/>
          <w:rFonts w:asciiTheme="minorHAnsi" w:hAnsiTheme="minorHAnsi" w:cstheme="minorHAnsi"/>
          <w:b/>
          <w:bCs/>
        </w:rPr>
        <w:t>-Variables recogidas mediante cuestionarios</w:t>
      </w:r>
    </w:p>
    <w:p w14:paraId="7DE28DF8" w14:textId="7B428184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lastRenderedPageBreak/>
        <w:t>RAID</w:t>
      </w:r>
    </w:p>
    <w:p w14:paraId="776D53A2" w14:textId="594D4E53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Valoración global de la enfermedad por el paciente</w:t>
      </w:r>
    </w:p>
    <w:p w14:paraId="2C66B0A3" w14:textId="416F9A37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SF36</w:t>
      </w:r>
    </w:p>
    <w:p w14:paraId="7A932BBD" w14:textId="19F8DCFC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Escala del dolor (</w:t>
      </w:r>
      <w:proofErr w:type="spellStart"/>
      <w:r w:rsidRPr="00B47FA6">
        <w:rPr>
          <w:rStyle w:val="Ninguno"/>
          <w:rFonts w:asciiTheme="minorHAnsi" w:hAnsiTheme="minorHAnsi" w:cstheme="minorHAnsi"/>
        </w:rPr>
        <w:t>Brief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</w:t>
      </w:r>
      <w:proofErr w:type="spellStart"/>
      <w:r w:rsidRPr="00B47FA6">
        <w:rPr>
          <w:rStyle w:val="Ninguno"/>
          <w:rFonts w:asciiTheme="minorHAnsi" w:hAnsiTheme="minorHAnsi" w:cstheme="minorHAnsi"/>
        </w:rPr>
        <w:t>Pain</w:t>
      </w:r>
      <w:proofErr w:type="spellEnd"/>
      <w:r w:rsidRPr="00B47FA6">
        <w:rPr>
          <w:rStyle w:val="Ninguno"/>
          <w:rFonts w:asciiTheme="minorHAnsi" w:hAnsiTheme="minorHAnsi" w:cstheme="minorHAnsi"/>
        </w:rPr>
        <w:t xml:space="preserve"> </w:t>
      </w:r>
      <w:proofErr w:type="spellStart"/>
      <w:r w:rsidRPr="00B47FA6">
        <w:rPr>
          <w:rStyle w:val="Ninguno"/>
          <w:rFonts w:asciiTheme="minorHAnsi" w:hAnsiTheme="minorHAnsi" w:cstheme="minorHAnsi"/>
        </w:rPr>
        <w:t>Inventory</w:t>
      </w:r>
      <w:proofErr w:type="spellEnd"/>
      <w:r w:rsidRPr="00B47FA6">
        <w:rPr>
          <w:rStyle w:val="Ninguno"/>
          <w:rFonts w:asciiTheme="minorHAnsi" w:hAnsiTheme="minorHAnsi" w:cstheme="minorHAnsi"/>
        </w:rPr>
        <w:t>)</w:t>
      </w:r>
    </w:p>
    <w:p w14:paraId="7B01D948" w14:textId="35CADA8A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 xml:space="preserve">HADS </w:t>
      </w:r>
    </w:p>
    <w:p w14:paraId="10F9A774" w14:textId="4762D67A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B47FA6">
        <w:rPr>
          <w:rStyle w:val="Ninguno"/>
          <w:rFonts w:asciiTheme="minorHAnsi" w:hAnsiTheme="minorHAnsi" w:cstheme="minorHAnsi"/>
        </w:rPr>
        <w:t>HAQ</w:t>
      </w:r>
    </w:p>
    <w:p w14:paraId="5499D033" w14:textId="09A2A89D" w:rsidR="00B47FA6" w:rsidRPr="00B47FA6" w:rsidRDefault="00B47FA6" w:rsidP="00B47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B47FA6">
        <w:rPr>
          <w:rStyle w:val="Ninguno"/>
          <w:rFonts w:asciiTheme="minorHAnsi" w:hAnsiTheme="minorHAnsi" w:cstheme="minorHAnsi"/>
        </w:rPr>
        <w:t>PsAID</w:t>
      </w:r>
      <w:proofErr w:type="spellEnd"/>
      <w:r w:rsidRPr="00B47FA6">
        <w:rPr>
          <w:rStyle w:val="Ninguno"/>
          <w:rFonts w:asciiTheme="minorHAnsi" w:hAnsiTheme="minorHAnsi" w:cstheme="minorHAnsi"/>
        </w:rPr>
        <w:t>.</w:t>
      </w:r>
    </w:p>
    <w:p w14:paraId="687A8AE8" w14:textId="18A2C4B2" w:rsidR="0005398A" w:rsidRDefault="00481C24" w:rsidP="00481C24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481C24">
        <w:rPr>
          <w:rStyle w:val="Ninguno"/>
          <w:rFonts w:asciiTheme="minorHAnsi" w:hAnsiTheme="minorHAnsi" w:cstheme="minorHAnsi"/>
          <w:b/>
          <w:bCs/>
        </w:rPr>
        <w:t>Procedimiento de recogida de datos:</w:t>
      </w:r>
      <w:r w:rsidRPr="00481C24">
        <w:rPr>
          <w:rStyle w:val="Ninguno"/>
          <w:rFonts w:asciiTheme="minorHAnsi" w:hAnsiTheme="minorHAnsi" w:cstheme="minorHAnsi"/>
          <w:lang w:val="pt-PT"/>
        </w:rPr>
        <w:t xml:space="preserve"> Se realizar</w:t>
      </w:r>
      <w:r w:rsidRPr="00481C24">
        <w:rPr>
          <w:rStyle w:val="Ninguno"/>
          <w:rFonts w:asciiTheme="minorHAnsi" w:hAnsiTheme="minorHAnsi" w:cstheme="minorHAnsi"/>
        </w:rPr>
        <w:t xml:space="preserve">á mediante cuestionarios que se entregarán a los pacientes en el momento de una visita de rutina por su patología de base. </w:t>
      </w:r>
      <w:r w:rsidR="0005398A">
        <w:rPr>
          <w:rStyle w:val="Ninguno"/>
          <w:rFonts w:asciiTheme="minorHAnsi" w:hAnsiTheme="minorHAnsi" w:cstheme="minorHAnsi"/>
        </w:rPr>
        <w:t>La información de los cuestionarios se incorporará al CRD electrónico del estudio mediante lectura automatizada.</w:t>
      </w:r>
    </w:p>
    <w:p w14:paraId="0A1AA865" w14:textId="6E81111D" w:rsidR="00481C24" w:rsidRPr="00481C24" w:rsidRDefault="00481C24" w:rsidP="00481C24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</w:rPr>
      </w:pPr>
      <w:r w:rsidRPr="00481C24">
        <w:rPr>
          <w:rStyle w:val="Ninguno"/>
          <w:rFonts w:asciiTheme="minorHAnsi" w:hAnsiTheme="minorHAnsi" w:cstheme="minorHAnsi"/>
        </w:rPr>
        <w:t>Las variables analíticas y clínicas se recogerán en el momento de la visita.</w:t>
      </w:r>
    </w:p>
    <w:p w14:paraId="6137DD32" w14:textId="351A0A79" w:rsidR="00481C24" w:rsidRPr="00A90C89" w:rsidRDefault="00481C24" w:rsidP="00A90C89">
      <w:pPr>
        <w:pStyle w:val="Cuerpo"/>
        <w:spacing w:line="360" w:lineRule="auto"/>
        <w:jc w:val="both"/>
        <w:rPr>
          <w:rStyle w:val="Ninguno"/>
          <w:rFonts w:asciiTheme="minorHAnsi" w:hAnsiTheme="minorHAnsi" w:cstheme="minorHAnsi"/>
        </w:rPr>
      </w:pPr>
      <w:r w:rsidRPr="00A90C89">
        <w:rPr>
          <w:rStyle w:val="Ninguno"/>
          <w:rFonts w:asciiTheme="minorHAnsi" w:hAnsiTheme="minorHAnsi" w:cstheme="minorHAnsi"/>
        </w:rPr>
        <w:t xml:space="preserve">La duración </w:t>
      </w:r>
      <w:r w:rsidR="00A90C89" w:rsidRPr="00A90C89">
        <w:rPr>
          <w:rStyle w:val="Ninguno"/>
          <w:rFonts w:asciiTheme="minorHAnsi" w:hAnsiTheme="minorHAnsi" w:cstheme="minorHAnsi"/>
        </w:rPr>
        <w:t xml:space="preserve">estimada </w:t>
      </w:r>
      <w:r w:rsidRPr="00A90C89">
        <w:rPr>
          <w:rStyle w:val="Ninguno"/>
          <w:rFonts w:asciiTheme="minorHAnsi" w:hAnsiTheme="minorHAnsi" w:cstheme="minorHAnsi"/>
        </w:rPr>
        <w:t xml:space="preserve">para la recogida de datos es de </w:t>
      </w:r>
      <w:r w:rsidR="00897890" w:rsidRPr="00A90C89">
        <w:rPr>
          <w:rStyle w:val="Ninguno"/>
          <w:rFonts w:asciiTheme="minorHAnsi" w:hAnsiTheme="minorHAnsi" w:cstheme="minorHAnsi"/>
        </w:rPr>
        <w:t>9 meses</w:t>
      </w:r>
      <w:r w:rsidR="00A90C89" w:rsidRPr="00A90C89">
        <w:rPr>
          <w:rStyle w:val="Ninguno"/>
          <w:rFonts w:asciiTheme="minorHAnsi" w:hAnsiTheme="minorHAnsi" w:cstheme="minorHAnsi"/>
        </w:rPr>
        <w:t xml:space="preserve"> y se iniciará</w:t>
      </w:r>
      <w:r w:rsidR="00A90C89">
        <w:rPr>
          <w:rStyle w:val="Ninguno"/>
          <w:rFonts w:asciiTheme="minorHAnsi" w:hAnsiTheme="minorHAnsi" w:cstheme="minorHAnsi"/>
        </w:rPr>
        <w:t xml:space="preserve"> </w:t>
      </w:r>
      <w:r w:rsidR="00A90C89" w:rsidRPr="00A90C89">
        <w:rPr>
          <w:rStyle w:val="Ninguno"/>
          <w:rFonts w:asciiTheme="minorHAnsi" w:hAnsiTheme="minorHAnsi" w:cstheme="minorHAnsi"/>
        </w:rPr>
        <w:t xml:space="preserve">previsiblemente en el último trimestre de 2024 </w:t>
      </w:r>
      <w:r w:rsidR="00A90C89">
        <w:rPr>
          <w:rStyle w:val="Ninguno"/>
          <w:rFonts w:asciiTheme="minorHAnsi" w:hAnsiTheme="minorHAnsi" w:cstheme="minorHAnsi"/>
        </w:rPr>
        <w:t>(</w:t>
      </w:r>
      <w:r w:rsidR="00A90C89" w:rsidRPr="00A90C89">
        <w:rPr>
          <w:rStyle w:val="Ninguno"/>
          <w:rFonts w:asciiTheme="minorHAnsi" w:hAnsiTheme="minorHAnsi" w:cstheme="minorHAnsi"/>
        </w:rPr>
        <w:t>tras completar los trámites administrativos para la aprobación del estudio en los centros participantes).</w:t>
      </w:r>
    </w:p>
    <w:p w14:paraId="4C59A08F" w14:textId="77777777" w:rsidR="00481C24" w:rsidRDefault="00481C24">
      <w:pPr>
        <w:rPr>
          <w:b/>
          <w:bCs/>
          <w:sz w:val="24"/>
          <w:szCs w:val="24"/>
        </w:rPr>
      </w:pPr>
    </w:p>
    <w:p w14:paraId="26363AE1" w14:textId="372DB409" w:rsidR="00B47FA6" w:rsidRDefault="00481C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MONITORIZACIÓN</w:t>
      </w:r>
    </w:p>
    <w:p w14:paraId="1F0C1B54" w14:textId="729AB01E" w:rsidR="00481C24" w:rsidRPr="00481C24" w:rsidRDefault="00481C24" w:rsidP="00481C24">
      <w:pPr>
        <w:pStyle w:val="Cuerpo"/>
        <w:spacing w:line="360" w:lineRule="auto"/>
        <w:jc w:val="both"/>
        <w:rPr>
          <w:rStyle w:val="Ninguno"/>
          <w:rFonts w:asciiTheme="minorHAnsi" w:eastAsia="Arial" w:hAnsiTheme="minorHAnsi" w:cstheme="minorHAnsi"/>
        </w:rPr>
      </w:pPr>
      <w:r w:rsidRPr="00481C24">
        <w:rPr>
          <w:rStyle w:val="Ninguno"/>
          <w:rFonts w:asciiTheme="minorHAnsi" w:hAnsiTheme="minorHAnsi" w:cstheme="minorHAnsi"/>
        </w:rPr>
        <w:t xml:space="preserve">Se llevará a cabo una monitorización online del 100% de los pacientes incluidos por parte del equipo de monitorización de la Unidad de Investigación de la SER. Se revisará que los datos recogidos en el </w:t>
      </w:r>
      <w:proofErr w:type="spellStart"/>
      <w:r w:rsidRPr="00481C24">
        <w:rPr>
          <w:rStyle w:val="Ninguno"/>
          <w:rFonts w:asciiTheme="minorHAnsi" w:hAnsiTheme="minorHAnsi" w:cstheme="minorHAnsi"/>
        </w:rPr>
        <w:t>eCRD</w:t>
      </w:r>
      <w:proofErr w:type="spellEnd"/>
      <w:r w:rsidRPr="00481C24">
        <w:rPr>
          <w:rStyle w:val="Ninguno"/>
          <w:rFonts w:asciiTheme="minorHAnsi" w:hAnsiTheme="minorHAnsi" w:cstheme="minorHAnsi"/>
        </w:rPr>
        <w:t xml:space="preserve"> sean consistentes, que no haya valores perdidos, valores anómalos, o discrepancias entre los datos. Estas incidencias serán enviadas a cada centro para que se resuelvan.</w:t>
      </w:r>
      <w:r w:rsidR="00116D2A">
        <w:rPr>
          <w:rStyle w:val="Ninguno"/>
          <w:rFonts w:asciiTheme="minorHAnsi" w:hAnsiTheme="minorHAnsi" w:cstheme="minorHAnsi"/>
        </w:rPr>
        <w:t xml:space="preserve"> El plazo aproximado para la resolución de incidencias es de un mes.</w:t>
      </w:r>
    </w:p>
    <w:p w14:paraId="6F60942F" w14:textId="77777777" w:rsidR="00481C24" w:rsidRPr="00481C24" w:rsidRDefault="00481C24">
      <w:pPr>
        <w:rPr>
          <w:rFonts w:cstheme="minorHAnsi"/>
          <w:b/>
          <w:bCs/>
          <w:sz w:val="24"/>
          <w:szCs w:val="24"/>
        </w:rPr>
      </w:pPr>
    </w:p>
    <w:sectPr w:rsidR="00481C24" w:rsidRPr="00481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4A9B"/>
    <w:multiLevelType w:val="hybridMultilevel"/>
    <w:tmpl w:val="968E546C"/>
    <w:numStyleLink w:val="Estiloimportado1"/>
  </w:abstractNum>
  <w:abstractNum w:abstractNumId="1" w15:restartNumberingAfterBreak="0">
    <w:nsid w:val="49A90A10"/>
    <w:multiLevelType w:val="hybridMultilevel"/>
    <w:tmpl w:val="968E546C"/>
    <w:styleLink w:val="Estiloimportado1"/>
    <w:lvl w:ilvl="0" w:tplc="0D54B19A">
      <w:start w:val="1"/>
      <w:numFmt w:val="bullet"/>
      <w:lvlText w:val="-"/>
      <w:lvlJc w:val="left"/>
      <w:pPr>
        <w:ind w:left="10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BC471A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FE15E2">
      <w:start w:val="1"/>
      <w:numFmt w:val="bullet"/>
      <w:lvlText w:val="▪"/>
      <w:lvlJc w:val="left"/>
      <w:pPr>
        <w:ind w:left="25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5035EC">
      <w:start w:val="1"/>
      <w:numFmt w:val="bullet"/>
      <w:lvlText w:val="•"/>
      <w:lvlJc w:val="left"/>
      <w:pPr>
        <w:ind w:left="32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0A4857C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02935C">
      <w:start w:val="1"/>
      <w:numFmt w:val="bullet"/>
      <w:lvlText w:val="▪"/>
      <w:lvlJc w:val="left"/>
      <w:pPr>
        <w:ind w:left="46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227B72">
      <w:start w:val="1"/>
      <w:numFmt w:val="bullet"/>
      <w:lvlText w:val="•"/>
      <w:lvlJc w:val="left"/>
      <w:pPr>
        <w:ind w:left="53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A80E6D8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D43252">
      <w:start w:val="1"/>
      <w:numFmt w:val="bullet"/>
      <w:lvlText w:val="▪"/>
      <w:lvlJc w:val="left"/>
      <w:pPr>
        <w:ind w:left="68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A6"/>
    <w:rsid w:val="0005398A"/>
    <w:rsid w:val="00116D2A"/>
    <w:rsid w:val="00481C24"/>
    <w:rsid w:val="00825236"/>
    <w:rsid w:val="00897890"/>
    <w:rsid w:val="00A90C89"/>
    <w:rsid w:val="00B47FA6"/>
    <w:rsid w:val="00E8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FCC1"/>
  <w15:chartTrackingRefBased/>
  <w15:docId w15:val="{53A1FB33-EB0D-42E1-B606-B212645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B47FA6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47FA6"/>
    <w:rPr>
      <w:lang w:val="es-ES_tradnl"/>
    </w:rPr>
  </w:style>
  <w:style w:type="paragraph" w:styleId="Prrafodelista">
    <w:name w:val="List Paragraph"/>
    <w:qFormat/>
    <w:rsid w:val="00B47FA6"/>
    <w:pPr>
      <w:spacing w:after="0" w:line="240" w:lineRule="auto"/>
      <w:ind w:left="720"/>
    </w:pPr>
    <w:rPr>
      <w:rFonts w:ascii="Cambria" w:eastAsia="Arial Unicode MS" w:hAnsi="Cambria" w:cs="Arial Unicode MS"/>
      <w:color w:val="000000"/>
      <w:sz w:val="24"/>
      <w:szCs w:val="24"/>
      <w:u w:color="000000"/>
      <w:lang w:val="es-ES_tradnl" w:eastAsia="es-ES"/>
    </w:rPr>
  </w:style>
  <w:style w:type="numbering" w:customStyle="1" w:styleId="Estiloimportado1">
    <w:name w:val="Estilo importado 1"/>
    <w:rsid w:val="00B47FA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Seoane</dc:creator>
  <cp:keywords/>
  <dc:description/>
  <cp:lastModifiedBy>Daniel Seoane</cp:lastModifiedBy>
  <cp:revision>5</cp:revision>
  <dcterms:created xsi:type="dcterms:W3CDTF">2024-04-16T07:16:00Z</dcterms:created>
  <dcterms:modified xsi:type="dcterms:W3CDTF">2024-04-16T10:44:00Z</dcterms:modified>
</cp:coreProperties>
</file>