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E2AB8" w14:textId="77777777" w:rsidR="00C01181" w:rsidRDefault="00C01181" w:rsidP="00C01181">
      <w:pPr>
        <w:jc w:val="both"/>
        <w:rPr>
          <w:sz w:val="24"/>
          <w:szCs w:val="24"/>
        </w:rPr>
      </w:pPr>
    </w:p>
    <w:p w14:paraId="66BA6CDD" w14:textId="18EF3AF2" w:rsidR="00C01181" w:rsidRPr="00660B74" w:rsidRDefault="00C01181" w:rsidP="00C01181">
      <w:pPr>
        <w:jc w:val="both"/>
        <w:rPr>
          <w:b/>
          <w:bCs/>
          <w:sz w:val="24"/>
          <w:szCs w:val="24"/>
        </w:rPr>
      </w:pPr>
      <w:r w:rsidRPr="00660B74">
        <w:rPr>
          <w:b/>
          <w:bCs/>
          <w:sz w:val="24"/>
          <w:szCs w:val="24"/>
        </w:rPr>
        <w:t>BIOBADAMERICA</w:t>
      </w:r>
    </w:p>
    <w:p w14:paraId="3A07BE0D" w14:textId="77777777" w:rsidR="00C01181" w:rsidRDefault="00C01181" w:rsidP="00C01181">
      <w:pPr>
        <w:jc w:val="both"/>
        <w:rPr>
          <w:sz w:val="24"/>
          <w:szCs w:val="24"/>
        </w:rPr>
      </w:pPr>
    </w:p>
    <w:p w14:paraId="7668F785" w14:textId="1D960425" w:rsidR="00C01181" w:rsidRPr="00194BB8" w:rsidRDefault="00C01181" w:rsidP="00C01181">
      <w:pPr>
        <w:jc w:val="both"/>
        <w:rPr>
          <w:sz w:val="24"/>
          <w:szCs w:val="24"/>
        </w:rPr>
      </w:pPr>
      <w:r>
        <w:rPr>
          <w:sz w:val="24"/>
          <w:szCs w:val="24"/>
        </w:rPr>
        <w:t>BIOBADAMERICA es un proyecto que inicia en el año</w:t>
      </w:r>
      <w:r w:rsidR="004C5910">
        <w:rPr>
          <w:sz w:val="24"/>
          <w:szCs w:val="24"/>
        </w:rPr>
        <w:t xml:space="preserve"> 2008</w:t>
      </w:r>
      <w:r>
        <w:rPr>
          <w:sz w:val="24"/>
          <w:szCs w:val="24"/>
        </w:rPr>
        <w:t xml:space="preserve"> con la finalidad de </w:t>
      </w:r>
      <w:r w:rsidRPr="00194BB8">
        <w:rPr>
          <w:sz w:val="24"/>
          <w:szCs w:val="24"/>
        </w:rPr>
        <w:t>establecer BASES DE DATOS NACIONALES</w:t>
      </w:r>
      <w:r>
        <w:rPr>
          <w:sz w:val="24"/>
          <w:szCs w:val="24"/>
        </w:rPr>
        <w:t xml:space="preserve">, para monitorizar </w:t>
      </w:r>
      <w:r w:rsidRPr="00194BB8">
        <w:rPr>
          <w:sz w:val="24"/>
          <w:szCs w:val="24"/>
        </w:rPr>
        <w:t xml:space="preserve">el empleo de AGENTES </w:t>
      </w:r>
      <w:r>
        <w:rPr>
          <w:sz w:val="24"/>
          <w:szCs w:val="24"/>
        </w:rPr>
        <w:t>B</w:t>
      </w:r>
      <w:r w:rsidRPr="00194BB8">
        <w:rPr>
          <w:sz w:val="24"/>
          <w:szCs w:val="24"/>
        </w:rPr>
        <w:t xml:space="preserve">IOLOGICOS EN REUMATOLOGIA–bajo la responsabilidad de cada Sociedad Nacional-. Dichas bases de datos deberían ser lo más homogéneas posibles, de manera que podamos </w:t>
      </w:r>
      <w:r w:rsidR="00BD776A">
        <w:rPr>
          <w:sz w:val="24"/>
          <w:szCs w:val="24"/>
        </w:rPr>
        <w:t>con la finalidad de contar con registros que sean comparables y en algún momento poder contar con una base de datos en la que la información se pueda agregar constituyendo</w:t>
      </w:r>
      <w:r w:rsidRPr="00194BB8">
        <w:rPr>
          <w:sz w:val="24"/>
          <w:szCs w:val="24"/>
        </w:rPr>
        <w:t xml:space="preserve"> una</w:t>
      </w:r>
      <w:r>
        <w:rPr>
          <w:sz w:val="24"/>
          <w:szCs w:val="24"/>
        </w:rPr>
        <w:t xml:space="preserve"> RED AMERICANA</w:t>
      </w:r>
      <w:r w:rsidRPr="00194BB8">
        <w:rPr>
          <w:sz w:val="24"/>
          <w:szCs w:val="24"/>
        </w:rPr>
        <w:t>.</w:t>
      </w:r>
    </w:p>
    <w:p w14:paraId="33ECA40D" w14:textId="77777777" w:rsidR="00C01181" w:rsidRPr="00194BB8" w:rsidRDefault="00C01181" w:rsidP="00C01181">
      <w:pPr>
        <w:jc w:val="both"/>
        <w:rPr>
          <w:sz w:val="24"/>
          <w:szCs w:val="24"/>
        </w:rPr>
      </w:pPr>
    </w:p>
    <w:p w14:paraId="03473475" w14:textId="6BFEF90F" w:rsidR="00C01181" w:rsidRDefault="00C01181" w:rsidP="00C01181">
      <w:pPr>
        <w:jc w:val="both"/>
        <w:rPr>
          <w:b/>
          <w:bCs/>
          <w:sz w:val="24"/>
          <w:szCs w:val="24"/>
        </w:rPr>
      </w:pPr>
      <w:r w:rsidRPr="00C01181">
        <w:rPr>
          <w:b/>
          <w:bCs/>
          <w:sz w:val="24"/>
          <w:szCs w:val="24"/>
        </w:rPr>
        <w:t>¿Cómo surge BIOBADAMERICA?</w:t>
      </w:r>
    </w:p>
    <w:p w14:paraId="2FA5B627" w14:textId="77777777" w:rsidR="00660B74" w:rsidRPr="00C01181" w:rsidRDefault="00660B74" w:rsidP="00C01181">
      <w:pPr>
        <w:jc w:val="both"/>
        <w:rPr>
          <w:b/>
          <w:bCs/>
          <w:sz w:val="24"/>
          <w:szCs w:val="24"/>
        </w:rPr>
      </w:pPr>
    </w:p>
    <w:p w14:paraId="185E4E95" w14:textId="6E25DE17" w:rsidR="00C01181" w:rsidRPr="00194BB8" w:rsidRDefault="0038600E" w:rsidP="00C01181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C01181" w:rsidRPr="00194BB8">
        <w:rPr>
          <w:sz w:val="24"/>
          <w:szCs w:val="24"/>
        </w:rPr>
        <w:t>os ensayos clínicos no tienen el poder suficiente para registrar la aparición de eventos adversos poco frecuentes o aquellos que ocurren en el largo plazo. Siendo las infecciones, en particular</w:t>
      </w:r>
      <w:r w:rsidR="00F74983">
        <w:rPr>
          <w:sz w:val="24"/>
          <w:szCs w:val="24"/>
        </w:rPr>
        <w:t xml:space="preserve"> tuberculosis (</w:t>
      </w:r>
      <w:r w:rsidR="00C01181" w:rsidRPr="00194BB8">
        <w:rPr>
          <w:sz w:val="24"/>
          <w:szCs w:val="24"/>
        </w:rPr>
        <w:t>TBC</w:t>
      </w:r>
      <w:r w:rsidR="00F74983">
        <w:rPr>
          <w:sz w:val="24"/>
          <w:szCs w:val="24"/>
        </w:rPr>
        <w:t>)</w:t>
      </w:r>
      <w:r w:rsidR="00C01181" w:rsidRPr="00194BB8">
        <w:rPr>
          <w:sz w:val="24"/>
          <w:szCs w:val="24"/>
        </w:rPr>
        <w:t xml:space="preserve"> y las ocasionadas por </w:t>
      </w:r>
      <w:r w:rsidR="00C01181">
        <w:rPr>
          <w:sz w:val="24"/>
          <w:szCs w:val="24"/>
        </w:rPr>
        <w:t xml:space="preserve">infecciones </w:t>
      </w:r>
      <w:r w:rsidR="00C01181" w:rsidRPr="00194BB8">
        <w:rPr>
          <w:sz w:val="24"/>
          <w:szCs w:val="24"/>
        </w:rPr>
        <w:t xml:space="preserve">oportunistas </w:t>
      </w:r>
      <w:r w:rsidR="00C01181">
        <w:rPr>
          <w:sz w:val="24"/>
          <w:szCs w:val="24"/>
        </w:rPr>
        <w:t>eventos</w:t>
      </w:r>
      <w:r w:rsidR="00C01181" w:rsidRPr="00194BB8">
        <w:rPr>
          <w:sz w:val="24"/>
          <w:szCs w:val="24"/>
        </w:rPr>
        <w:t xml:space="preserve"> adverso</w:t>
      </w:r>
      <w:r w:rsidR="00F27650">
        <w:rPr>
          <w:sz w:val="24"/>
          <w:szCs w:val="24"/>
        </w:rPr>
        <w:t>s</w:t>
      </w:r>
      <w:r w:rsidR="00C01181" w:rsidRPr="00194BB8">
        <w:rPr>
          <w:sz w:val="24"/>
          <w:szCs w:val="24"/>
        </w:rPr>
        <w:t xml:space="preserve"> observado</w:t>
      </w:r>
      <w:r w:rsidR="00C01181">
        <w:rPr>
          <w:sz w:val="24"/>
          <w:szCs w:val="24"/>
        </w:rPr>
        <w:t>s</w:t>
      </w:r>
      <w:r w:rsidR="00C01181" w:rsidRPr="00194BB8">
        <w:rPr>
          <w:sz w:val="24"/>
          <w:szCs w:val="24"/>
        </w:rPr>
        <w:t xml:space="preserve"> con el uso de agentes biológicos, </w:t>
      </w:r>
      <w:r w:rsidR="00C01181">
        <w:rPr>
          <w:sz w:val="24"/>
          <w:szCs w:val="24"/>
        </w:rPr>
        <w:t>por dicha razón se propuso</w:t>
      </w:r>
      <w:r w:rsidR="00C01181" w:rsidRPr="00194BB8">
        <w:rPr>
          <w:sz w:val="24"/>
          <w:szCs w:val="24"/>
        </w:rPr>
        <w:t xml:space="preserve"> evaluar la frecuencia de los mismos en población Americana, en particular </w:t>
      </w:r>
      <w:r w:rsidR="00C01181">
        <w:rPr>
          <w:sz w:val="24"/>
          <w:szCs w:val="24"/>
        </w:rPr>
        <w:t xml:space="preserve">en población </w:t>
      </w:r>
      <w:r w:rsidR="00C01181" w:rsidRPr="00194BB8">
        <w:rPr>
          <w:sz w:val="24"/>
          <w:szCs w:val="24"/>
        </w:rPr>
        <w:t>Latino- American</w:t>
      </w:r>
      <w:r w:rsidR="00C01181">
        <w:rPr>
          <w:sz w:val="24"/>
          <w:szCs w:val="24"/>
        </w:rPr>
        <w:t>a</w:t>
      </w:r>
      <w:r w:rsidR="00C01181" w:rsidRPr="00194BB8">
        <w:rPr>
          <w:sz w:val="24"/>
          <w:szCs w:val="24"/>
        </w:rPr>
        <w:t>, donde dichas enfermedades son de alta prevalencia en la población general.</w:t>
      </w:r>
    </w:p>
    <w:p w14:paraId="74F96505" w14:textId="77777777" w:rsidR="00C01181" w:rsidRPr="00194BB8" w:rsidRDefault="00C01181" w:rsidP="00C01181">
      <w:pPr>
        <w:ind w:left="360"/>
        <w:jc w:val="both"/>
        <w:rPr>
          <w:sz w:val="24"/>
          <w:szCs w:val="24"/>
        </w:rPr>
      </w:pPr>
    </w:p>
    <w:p w14:paraId="1EA5682E" w14:textId="1BAD9B27" w:rsidR="00C01181" w:rsidRDefault="00C01181" w:rsidP="00C01181">
      <w:pPr>
        <w:jc w:val="both"/>
        <w:rPr>
          <w:sz w:val="24"/>
          <w:szCs w:val="24"/>
        </w:rPr>
      </w:pPr>
      <w:r w:rsidRPr="00194BB8">
        <w:rPr>
          <w:sz w:val="24"/>
          <w:szCs w:val="24"/>
        </w:rPr>
        <w:t xml:space="preserve">La idea </w:t>
      </w:r>
      <w:r>
        <w:rPr>
          <w:sz w:val="24"/>
          <w:szCs w:val="24"/>
        </w:rPr>
        <w:t>surgió</w:t>
      </w:r>
      <w:r w:rsidRPr="00194BB8">
        <w:rPr>
          <w:sz w:val="24"/>
          <w:szCs w:val="24"/>
        </w:rPr>
        <w:t xml:space="preserve"> </w:t>
      </w:r>
      <w:r w:rsidR="00F27650">
        <w:rPr>
          <w:sz w:val="24"/>
          <w:szCs w:val="24"/>
        </w:rPr>
        <w:t>después</w:t>
      </w:r>
      <w:r w:rsidR="00F27650" w:rsidRPr="00194BB8">
        <w:rPr>
          <w:sz w:val="24"/>
          <w:szCs w:val="24"/>
        </w:rPr>
        <w:t xml:space="preserve"> </w:t>
      </w:r>
      <w:r w:rsidRPr="00194BB8">
        <w:rPr>
          <w:sz w:val="24"/>
          <w:szCs w:val="24"/>
        </w:rPr>
        <w:t>de conversaciones con miembros de las Sociedades/Asociaciones/Colegios de Reumatología de Colombia, Chile, México y Argentina, sociedades en las que por propia iniciativa se están gestando dichas bases de datos</w:t>
      </w:r>
      <w:r>
        <w:rPr>
          <w:sz w:val="24"/>
          <w:szCs w:val="24"/>
        </w:rPr>
        <w:t xml:space="preserve"> con diferentes grados de desarrollo y en forma heterogénea.</w:t>
      </w:r>
    </w:p>
    <w:p w14:paraId="4A9A6DD3" w14:textId="77777777" w:rsidR="00C01181" w:rsidRDefault="00C01181" w:rsidP="00C01181">
      <w:pPr>
        <w:jc w:val="both"/>
        <w:rPr>
          <w:sz w:val="24"/>
          <w:szCs w:val="24"/>
        </w:rPr>
      </w:pPr>
    </w:p>
    <w:p w14:paraId="45B137CE" w14:textId="0EB71684" w:rsidR="00C01181" w:rsidRDefault="00C01181" w:rsidP="00C01181">
      <w:pPr>
        <w:jc w:val="both"/>
        <w:rPr>
          <w:b/>
          <w:bCs/>
          <w:sz w:val="24"/>
          <w:szCs w:val="24"/>
        </w:rPr>
      </w:pPr>
      <w:r w:rsidRPr="00660B74">
        <w:rPr>
          <w:b/>
          <w:bCs/>
          <w:sz w:val="24"/>
          <w:szCs w:val="24"/>
        </w:rPr>
        <w:t>¿</w:t>
      </w:r>
      <w:r w:rsidR="00660B74" w:rsidRPr="00660B74">
        <w:rPr>
          <w:b/>
          <w:bCs/>
          <w:sz w:val="24"/>
          <w:szCs w:val="24"/>
        </w:rPr>
        <w:t>Quién coordina BIOBADAMERICA</w:t>
      </w:r>
      <w:r w:rsidRPr="00660B74">
        <w:rPr>
          <w:b/>
          <w:bCs/>
          <w:sz w:val="24"/>
          <w:szCs w:val="24"/>
        </w:rPr>
        <w:t>?</w:t>
      </w:r>
    </w:p>
    <w:p w14:paraId="20E77EFA" w14:textId="77777777" w:rsidR="00660B74" w:rsidRPr="00660B74" w:rsidRDefault="00660B74" w:rsidP="00C01181">
      <w:pPr>
        <w:jc w:val="both"/>
        <w:rPr>
          <w:b/>
          <w:bCs/>
          <w:sz w:val="24"/>
          <w:szCs w:val="24"/>
        </w:rPr>
      </w:pPr>
    </w:p>
    <w:p w14:paraId="21740B93" w14:textId="63D2B9EB" w:rsidR="00C01181" w:rsidRPr="00194BB8" w:rsidRDefault="00660B74" w:rsidP="00C01181">
      <w:pPr>
        <w:jc w:val="both"/>
        <w:rPr>
          <w:sz w:val="24"/>
          <w:szCs w:val="24"/>
        </w:rPr>
      </w:pPr>
      <w:r>
        <w:rPr>
          <w:sz w:val="24"/>
          <w:szCs w:val="24"/>
        </w:rPr>
        <w:t>La entidad que se encarga de la coordinación de las actividades relacionadas con BIOBADAMERICA es</w:t>
      </w:r>
      <w:r w:rsidR="00C01181" w:rsidRPr="00194BB8">
        <w:rPr>
          <w:sz w:val="24"/>
          <w:szCs w:val="24"/>
        </w:rPr>
        <w:t xml:space="preserve"> la Sociedad Española de Reumatología (SER)</w:t>
      </w:r>
      <w:r w:rsidR="00C01181">
        <w:rPr>
          <w:sz w:val="24"/>
          <w:szCs w:val="24"/>
        </w:rPr>
        <w:t xml:space="preserve">, Sociedad </w:t>
      </w:r>
      <w:r>
        <w:rPr>
          <w:sz w:val="24"/>
          <w:szCs w:val="24"/>
        </w:rPr>
        <w:t>que desde</w:t>
      </w:r>
      <w:r w:rsidR="00C01181" w:rsidRPr="00194BB8">
        <w:rPr>
          <w:sz w:val="24"/>
          <w:szCs w:val="24"/>
        </w:rPr>
        <w:t xml:space="preserve"> el año 2000, con la colaboración de la </w:t>
      </w:r>
      <w:r w:rsidR="00C01181" w:rsidRPr="00194BB8">
        <w:rPr>
          <w:bCs/>
          <w:iCs/>
          <w:sz w:val="24"/>
          <w:szCs w:val="24"/>
        </w:rPr>
        <w:t>División de Fármaco epidemiología y Fármaco vigilancia de la Agencia Española del Medicamento</w:t>
      </w:r>
      <w:r>
        <w:rPr>
          <w:bCs/>
          <w:iCs/>
          <w:sz w:val="24"/>
          <w:szCs w:val="24"/>
        </w:rPr>
        <w:t xml:space="preserve"> y Productos Sanitarios (AEMPS)</w:t>
      </w:r>
      <w:r w:rsidR="00C01181" w:rsidRPr="00194BB8">
        <w:rPr>
          <w:bCs/>
          <w:iCs/>
          <w:sz w:val="24"/>
          <w:szCs w:val="24"/>
        </w:rPr>
        <w:t xml:space="preserve"> cre</w:t>
      </w:r>
      <w:r w:rsidR="00F27650">
        <w:rPr>
          <w:bCs/>
          <w:iCs/>
          <w:sz w:val="24"/>
          <w:szCs w:val="24"/>
        </w:rPr>
        <w:t>ó</w:t>
      </w:r>
      <w:r w:rsidR="00C01181" w:rsidRPr="00194BB8">
        <w:rPr>
          <w:bCs/>
          <w:iCs/>
          <w:sz w:val="24"/>
          <w:szCs w:val="24"/>
        </w:rPr>
        <w:t xml:space="preserve"> “</w:t>
      </w:r>
      <w:r w:rsidR="00C01181" w:rsidRPr="00194BB8">
        <w:rPr>
          <w:b/>
          <w:bCs/>
          <w:iCs/>
          <w:sz w:val="24"/>
          <w:szCs w:val="24"/>
        </w:rPr>
        <w:t>BIOBADASER</w:t>
      </w:r>
      <w:r w:rsidR="00C01181" w:rsidRPr="00194BB8">
        <w:rPr>
          <w:bCs/>
          <w:iCs/>
          <w:sz w:val="24"/>
          <w:szCs w:val="24"/>
        </w:rPr>
        <w:t xml:space="preserve">: </w:t>
      </w:r>
      <w:r w:rsidR="00F74983" w:rsidRPr="00F74983">
        <w:rPr>
          <w:b/>
          <w:sz w:val="24"/>
          <w:szCs w:val="24"/>
        </w:rPr>
        <w:t>Registro español de acontecimientos adversos de terapias biológicas en enfermedades reumáticas. Fase III</w:t>
      </w:r>
      <w:r w:rsidR="00C01181" w:rsidRPr="00194BB8">
        <w:rPr>
          <w:b/>
          <w:sz w:val="24"/>
          <w:szCs w:val="24"/>
        </w:rPr>
        <w:t>”</w:t>
      </w:r>
      <w:r w:rsidR="00C01181" w:rsidRPr="00194BB8">
        <w:rPr>
          <w:sz w:val="24"/>
          <w:szCs w:val="24"/>
        </w:rPr>
        <w:t xml:space="preserve"> y con apoyo de diversas entidades </w:t>
      </w:r>
      <w:r>
        <w:rPr>
          <w:sz w:val="24"/>
          <w:szCs w:val="24"/>
        </w:rPr>
        <w:t xml:space="preserve">hasta hoy </w:t>
      </w:r>
      <w:r w:rsidR="00C01181" w:rsidRPr="00194BB8">
        <w:rPr>
          <w:sz w:val="24"/>
          <w:szCs w:val="24"/>
        </w:rPr>
        <w:t>funciona con gran éxito</w:t>
      </w:r>
      <w:r>
        <w:rPr>
          <w:sz w:val="24"/>
          <w:szCs w:val="24"/>
        </w:rPr>
        <w:t>. (</w:t>
      </w:r>
      <w:r w:rsidR="00C01181" w:rsidRPr="00194BB8">
        <w:rPr>
          <w:sz w:val="24"/>
          <w:szCs w:val="24"/>
        </w:rPr>
        <w:t xml:space="preserve">web: </w:t>
      </w:r>
      <w:hyperlink r:id="rId7" w:history="1">
        <w:r w:rsidR="00C01181" w:rsidRPr="00194BB8">
          <w:rPr>
            <w:rStyle w:val="Hipervnculo"/>
            <w:szCs w:val="24"/>
          </w:rPr>
          <w:t>http://biobadaser.ser.es/</w:t>
        </w:r>
      </w:hyperlink>
      <w:r>
        <w:rPr>
          <w:sz w:val="24"/>
          <w:szCs w:val="24"/>
        </w:rPr>
        <w:t>)</w:t>
      </w:r>
    </w:p>
    <w:p w14:paraId="7BECCAA9" w14:textId="77777777" w:rsidR="00C01181" w:rsidRPr="00194BB8" w:rsidRDefault="00C01181" w:rsidP="00C01181">
      <w:pPr>
        <w:jc w:val="both"/>
        <w:rPr>
          <w:sz w:val="24"/>
          <w:szCs w:val="24"/>
        </w:rPr>
      </w:pPr>
    </w:p>
    <w:p w14:paraId="4627A171" w14:textId="77777777" w:rsidR="00C01181" w:rsidRDefault="00C01181" w:rsidP="00C01181">
      <w:pPr>
        <w:ind w:left="-360"/>
        <w:jc w:val="both"/>
        <w:rPr>
          <w:sz w:val="24"/>
          <w:szCs w:val="24"/>
        </w:rPr>
      </w:pPr>
    </w:p>
    <w:p w14:paraId="79694330" w14:textId="1CAEC5C9" w:rsidR="00C01181" w:rsidRPr="00660B74" w:rsidRDefault="00660B74" w:rsidP="00C01181">
      <w:pPr>
        <w:ind w:left="-36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660B74">
        <w:rPr>
          <w:b/>
          <w:bCs/>
          <w:sz w:val="24"/>
          <w:szCs w:val="24"/>
        </w:rPr>
        <w:t>¿Cómo se puede hacer para participar en BIOBADAMERICA?</w:t>
      </w:r>
    </w:p>
    <w:p w14:paraId="56439228" w14:textId="77777777" w:rsidR="00C01181" w:rsidRDefault="00C01181" w:rsidP="00C01181">
      <w:pPr>
        <w:ind w:left="-360"/>
        <w:jc w:val="both"/>
        <w:rPr>
          <w:sz w:val="24"/>
          <w:szCs w:val="24"/>
        </w:rPr>
      </w:pPr>
    </w:p>
    <w:p w14:paraId="35AD2667" w14:textId="30A8F800" w:rsidR="00660B74" w:rsidRDefault="00660B74" w:rsidP="00660B74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C01181" w:rsidRPr="00194BB8">
        <w:rPr>
          <w:sz w:val="24"/>
          <w:szCs w:val="24"/>
        </w:rPr>
        <w:t xml:space="preserve">a SER </w:t>
      </w:r>
      <w:r>
        <w:rPr>
          <w:sz w:val="24"/>
          <w:szCs w:val="24"/>
        </w:rPr>
        <w:t>hasta la actualidad cede</w:t>
      </w:r>
      <w:r w:rsidR="00C01181" w:rsidRPr="00194BB8">
        <w:rPr>
          <w:sz w:val="24"/>
          <w:szCs w:val="24"/>
        </w:rPr>
        <w:t xml:space="preserve"> en uso la aplicación web de BIOBADASER a cada una de las Sociedades Nacionales y</w:t>
      </w:r>
      <w:r>
        <w:rPr>
          <w:sz w:val="24"/>
          <w:szCs w:val="24"/>
        </w:rPr>
        <w:t xml:space="preserve"> presta</w:t>
      </w:r>
      <w:r w:rsidR="00C01181" w:rsidRPr="00194BB8">
        <w:rPr>
          <w:sz w:val="24"/>
          <w:szCs w:val="24"/>
        </w:rPr>
        <w:t xml:space="preserve"> la </w:t>
      </w:r>
      <w:r>
        <w:rPr>
          <w:sz w:val="24"/>
          <w:szCs w:val="24"/>
        </w:rPr>
        <w:t>formación</w:t>
      </w:r>
      <w:r w:rsidR="00C01181" w:rsidRPr="00194BB8">
        <w:rPr>
          <w:sz w:val="24"/>
          <w:szCs w:val="24"/>
        </w:rPr>
        <w:t xml:space="preserve"> necesaria para la adecuada introducción de datos y</w:t>
      </w:r>
      <w:r>
        <w:rPr>
          <w:sz w:val="24"/>
          <w:szCs w:val="24"/>
        </w:rPr>
        <w:t xml:space="preserve"> </w:t>
      </w:r>
      <w:r w:rsidR="00C01181" w:rsidRPr="00194BB8">
        <w:rPr>
          <w:sz w:val="24"/>
          <w:szCs w:val="24"/>
        </w:rPr>
        <w:t>explotación del registro</w:t>
      </w:r>
      <w:r>
        <w:rPr>
          <w:sz w:val="24"/>
          <w:szCs w:val="24"/>
        </w:rPr>
        <w:t>, bajo convenios de colaboración</w:t>
      </w:r>
      <w:r w:rsidR="00C01181" w:rsidRPr="00194BB8">
        <w:rPr>
          <w:sz w:val="24"/>
          <w:szCs w:val="24"/>
        </w:rPr>
        <w:t>.</w:t>
      </w:r>
    </w:p>
    <w:p w14:paraId="794ADCF9" w14:textId="546DBACF" w:rsidR="00C01181" w:rsidRDefault="00C01181" w:rsidP="00660B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60B74">
        <w:rPr>
          <w:sz w:val="24"/>
          <w:szCs w:val="24"/>
        </w:rPr>
        <w:t xml:space="preserve">Hasta hoy se han establecido registros de colaboración en diferentes países tales como </w:t>
      </w:r>
      <w:r w:rsidR="00F74983">
        <w:rPr>
          <w:sz w:val="24"/>
          <w:szCs w:val="24"/>
        </w:rPr>
        <w:t>Argentina: BIOBADASAR</w:t>
      </w:r>
      <w:r w:rsidR="00292006">
        <w:rPr>
          <w:sz w:val="24"/>
          <w:szCs w:val="24"/>
        </w:rPr>
        <w:t>,</w:t>
      </w:r>
      <w:r w:rsidR="00F74983">
        <w:rPr>
          <w:sz w:val="24"/>
          <w:szCs w:val="24"/>
        </w:rPr>
        <w:t xml:space="preserve"> Brasil: BIOBADABRASIL,</w:t>
      </w:r>
      <w:r w:rsidR="00292006">
        <w:rPr>
          <w:sz w:val="24"/>
          <w:szCs w:val="24"/>
        </w:rPr>
        <w:t xml:space="preserve"> </w:t>
      </w:r>
      <w:r w:rsidR="00660B74">
        <w:rPr>
          <w:sz w:val="24"/>
          <w:szCs w:val="24"/>
        </w:rPr>
        <w:t xml:space="preserve">Colombia: </w:t>
      </w:r>
      <w:r>
        <w:rPr>
          <w:sz w:val="24"/>
          <w:szCs w:val="24"/>
        </w:rPr>
        <w:t xml:space="preserve"> BIOBADACOLOMBIA</w:t>
      </w:r>
      <w:r w:rsidR="00660B74">
        <w:rPr>
          <w:sz w:val="24"/>
          <w:szCs w:val="24"/>
        </w:rPr>
        <w:t xml:space="preserve">, </w:t>
      </w:r>
      <w:r w:rsidR="00F74983">
        <w:rPr>
          <w:sz w:val="24"/>
          <w:szCs w:val="24"/>
        </w:rPr>
        <w:t>México: BIOBADAMEX</w:t>
      </w:r>
      <w:r w:rsidR="00660B74">
        <w:rPr>
          <w:sz w:val="24"/>
          <w:szCs w:val="24"/>
        </w:rPr>
        <w:t xml:space="preserve">, </w:t>
      </w:r>
      <w:r w:rsidR="00660B74" w:rsidRPr="00660B74">
        <w:rPr>
          <w:sz w:val="24"/>
          <w:szCs w:val="24"/>
        </w:rPr>
        <w:t>Paraguay y Uruguay</w:t>
      </w:r>
      <w:r w:rsidR="00660B74">
        <w:rPr>
          <w:sz w:val="24"/>
          <w:szCs w:val="24"/>
        </w:rPr>
        <w:t xml:space="preserve">: </w:t>
      </w:r>
      <w:r w:rsidR="00660B74" w:rsidRPr="00660B74">
        <w:rPr>
          <w:sz w:val="24"/>
          <w:szCs w:val="24"/>
        </w:rPr>
        <w:t xml:space="preserve">BIOBADAGUAY </w:t>
      </w:r>
      <w:r w:rsidR="00660B74">
        <w:rPr>
          <w:sz w:val="24"/>
          <w:szCs w:val="24"/>
        </w:rPr>
        <w:t>con los que se pretende construir un registro único de américa:</w:t>
      </w:r>
      <w:r w:rsidR="00844FC3">
        <w:rPr>
          <w:sz w:val="24"/>
          <w:szCs w:val="24"/>
        </w:rPr>
        <w:t xml:space="preserve"> </w:t>
      </w:r>
      <w:r w:rsidRPr="00194BB8">
        <w:rPr>
          <w:sz w:val="24"/>
          <w:szCs w:val="24"/>
        </w:rPr>
        <w:t>BIOBADAMERICA</w:t>
      </w:r>
      <w:r>
        <w:rPr>
          <w:sz w:val="24"/>
          <w:szCs w:val="24"/>
        </w:rPr>
        <w:t>.</w:t>
      </w:r>
    </w:p>
    <w:p w14:paraId="10A477A3" w14:textId="108E52ED" w:rsidR="00292006" w:rsidRDefault="00292006" w:rsidP="00660B74">
      <w:pPr>
        <w:jc w:val="both"/>
        <w:rPr>
          <w:sz w:val="24"/>
          <w:szCs w:val="24"/>
        </w:rPr>
      </w:pPr>
    </w:p>
    <w:p w14:paraId="3F10161B" w14:textId="672CD2A3" w:rsidR="00292006" w:rsidRDefault="00292006" w:rsidP="00660B74">
      <w:pPr>
        <w:jc w:val="both"/>
        <w:rPr>
          <w:sz w:val="24"/>
          <w:szCs w:val="24"/>
        </w:rPr>
      </w:pPr>
    </w:p>
    <w:p w14:paraId="3D99A655" w14:textId="77777777" w:rsidR="00292006" w:rsidRPr="00194BB8" w:rsidRDefault="00292006" w:rsidP="00660B74">
      <w:pPr>
        <w:jc w:val="both"/>
        <w:rPr>
          <w:sz w:val="24"/>
          <w:szCs w:val="24"/>
        </w:rPr>
      </w:pPr>
    </w:p>
    <w:p w14:paraId="480C317F" w14:textId="77777777" w:rsidR="00C01181" w:rsidRPr="00194BB8" w:rsidRDefault="00C01181" w:rsidP="00C01181">
      <w:pPr>
        <w:ind w:left="-360"/>
        <w:jc w:val="both"/>
        <w:rPr>
          <w:sz w:val="24"/>
          <w:szCs w:val="24"/>
        </w:rPr>
      </w:pPr>
    </w:p>
    <w:p w14:paraId="505A1099" w14:textId="500D8DC5" w:rsidR="00C01181" w:rsidRPr="00844FC3" w:rsidRDefault="00844FC3" w:rsidP="00C01181">
      <w:pPr>
        <w:jc w:val="both"/>
        <w:rPr>
          <w:b/>
          <w:bCs/>
          <w:sz w:val="24"/>
          <w:szCs w:val="24"/>
        </w:rPr>
      </w:pPr>
      <w:r w:rsidRPr="00844FC3">
        <w:rPr>
          <w:b/>
          <w:bCs/>
          <w:sz w:val="24"/>
          <w:szCs w:val="24"/>
        </w:rPr>
        <w:lastRenderedPageBreak/>
        <w:t>¿Qué se plantea a futuro?</w:t>
      </w:r>
    </w:p>
    <w:p w14:paraId="51A56778" w14:textId="77777777" w:rsidR="00844FC3" w:rsidRDefault="00844FC3" w:rsidP="00C01181">
      <w:pPr>
        <w:jc w:val="both"/>
        <w:rPr>
          <w:sz w:val="24"/>
          <w:szCs w:val="24"/>
        </w:rPr>
      </w:pPr>
    </w:p>
    <w:p w14:paraId="510A7C56" w14:textId="77777777" w:rsidR="0038600E" w:rsidRDefault="00844FC3" w:rsidP="00844FC3">
      <w:pPr>
        <w:jc w:val="both"/>
        <w:rPr>
          <w:sz w:val="24"/>
          <w:szCs w:val="24"/>
        </w:rPr>
      </w:pPr>
      <w:r>
        <w:rPr>
          <w:sz w:val="24"/>
          <w:szCs w:val="24"/>
        </w:rPr>
        <w:t>En un futuro se aspira a que l</w:t>
      </w:r>
      <w:r w:rsidR="00C01181" w:rsidRPr="00194BB8">
        <w:rPr>
          <w:sz w:val="24"/>
          <w:szCs w:val="24"/>
        </w:rPr>
        <w:t xml:space="preserve">os datos que contenga cada BASE NACIONAL podrán fusionarse con los de </w:t>
      </w:r>
      <w:smartTag w:uri="urn:schemas-microsoft-com:office:smarttags" w:element="PersonName">
        <w:smartTagPr>
          <w:attr w:name="ProductID" w:val="la SER"/>
        </w:smartTagPr>
        <w:r w:rsidR="00C01181" w:rsidRPr="00194BB8">
          <w:rPr>
            <w:sz w:val="24"/>
            <w:szCs w:val="24"/>
          </w:rPr>
          <w:t>la SER</w:t>
        </w:r>
      </w:smartTag>
      <w:r w:rsidR="00C01181" w:rsidRPr="00194BB8">
        <w:rPr>
          <w:sz w:val="24"/>
          <w:szCs w:val="24"/>
        </w:rPr>
        <w:t xml:space="preserve"> o de otras entidades para realizar análisis e informes conjuntos, siempre con el acuerdo previo de las partes. Los análisis de sus datos los realizará alguien desi</w:t>
      </w:r>
      <w:r w:rsidR="00C01181">
        <w:rPr>
          <w:sz w:val="24"/>
          <w:szCs w:val="24"/>
        </w:rPr>
        <w:t>gnado por el titular de cada registro</w:t>
      </w:r>
      <w:r w:rsidR="00C01181" w:rsidRPr="00194BB8">
        <w:rPr>
          <w:sz w:val="24"/>
          <w:szCs w:val="24"/>
        </w:rPr>
        <w:t xml:space="preserve">. </w:t>
      </w:r>
    </w:p>
    <w:p w14:paraId="48CD3414" w14:textId="77777777" w:rsidR="00630970" w:rsidRDefault="00630970" w:rsidP="00844FC3">
      <w:pPr>
        <w:jc w:val="both"/>
        <w:rPr>
          <w:sz w:val="24"/>
          <w:szCs w:val="24"/>
        </w:rPr>
      </w:pPr>
    </w:p>
    <w:p w14:paraId="00BEC839" w14:textId="2C1CB42C" w:rsidR="00C01181" w:rsidRPr="004C5910" w:rsidRDefault="004C5910" w:rsidP="00C01181">
      <w:pPr>
        <w:jc w:val="both"/>
        <w:rPr>
          <w:rFonts w:eastAsia="Arial Unicode MS"/>
          <w:b/>
          <w:bCs/>
          <w:sz w:val="24"/>
          <w:szCs w:val="24"/>
        </w:rPr>
      </w:pPr>
      <w:r w:rsidRPr="004C5910">
        <w:rPr>
          <w:b/>
          <w:bCs/>
          <w:sz w:val="24"/>
          <w:szCs w:val="24"/>
        </w:rPr>
        <w:t>¿Cómo participar?</w:t>
      </w:r>
    </w:p>
    <w:p w14:paraId="0EED05FB" w14:textId="2258A444" w:rsidR="00C01181" w:rsidRDefault="00C01181" w:rsidP="00C01181">
      <w:pPr>
        <w:pStyle w:val="EstiloTextoindependiente12pt"/>
        <w:rPr>
          <w:rFonts w:ascii="Times New Roman" w:hAnsi="Times New Roman" w:cs="Times New Roman"/>
          <w:szCs w:val="24"/>
          <w:lang w:val="es-PE"/>
        </w:rPr>
      </w:pPr>
      <w:r>
        <w:rPr>
          <w:rFonts w:ascii="Times New Roman" w:hAnsi="Times New Roman" w:cs="Times New Roman"/>
          <w:szCs w:val="24"/>
          <w:lang w:val="es-PE"/>
        </w:rPr>
        <w:t>Quienes estén de acuerdo en que su Sociedad/Asociación/Colegio participe</w:t>
      </w:r>
      <w:r w:rsidR="005E6189">
        <w:rPr>
          <w:rFonts w:ascii="Times New Roman" w:hAnsi="Times New Roman" w:cs="Times New Roman"/>
          <w:szCs w:val="24"/>
          <w:lang w:val="es-PE"/>
        </w:rPr>
        <w:t>,</w:t>
      </w:r>
      <w:r>
        <w:rPr>
          <w:rFonts w:ascii="Times New Roman" w:hAnsi="Times New Roman" w:cs="Times New Roman"/>
          <w:szCs w:val="24"/>
          <w:lang w:val="es-PE"/>
        </w:rPr>
        <w:t xml:space="preserve"> </w:t>
      </w:r>
      <w:r w:rsidR="004C5910">
        <w:rPr>
          <w:rFonts w:ascii="Times New Roman" w:hAnsi="Times New Roman" w:cs="Times New Roman"/>
          <w:szCs w:val="24"/>
          <w:lang w:val="es-PE"/>
        </w:rPr>
        <w:t xml:space="preserve">deberá </w:t>
      </w:r>
      <w:r>
        <w:rPr>
          <w:rFonts w:ascii="Times New Roman" w:hAnsi="Times New Roman" w:cs="Times New Roman"/>
          <w:szCs w:val="24"/>
          <w:lang w:val="es-PE"/>
        </w:rPr>
        <w:t>design</w:t>
      </w:r>
      <w:r w:rsidR="004C5910">
        <w:rPr>
          <w:rFonts w:ascii="Times New Roman" w:hAnsi="Times New Roman" w:cs="Times New Roman"/>
          <w:szCs w:val="24"/>
          <w:lang w:val="es-PE"/>
        </w:rPr>
        <w:t xml:space="preserve">ar </w:t>
      </w:r>
      <w:r>
        <w:rPr>
          <w:rFonts w:ascii="Times New Roman" w:hAnsi="Times New Roman" w:cs="Times New Roman"/>
          <w:szCs w:val="24"/>
          <w:lang w:val="es-PE"/>
        </w:rPr>
        <w:t>a</w:t>
      </w:r>
      <w:r w:rsidR="004C5910">
        <w:rPr>
          <w:rFonts w:ascii="Times New Roman" w:hAnsi="Times New Roman" w:cs="Times New Roman"/>
          <w:szCs w:val="24"/>
          <w:lang w:val="es-PE"/>
        </w:rPr>
        <w:t xml:space="preserve"> un </w:t>
      </w:r>
      <w:r>
        <w:rPr>
          <w:rFonts w:ascii="Times New Roman" w:hAnsi="Times New Roman" w:cs="Times New Roman"/>
          <w:szCs w:val="24"/>
          <w:lang w:val="es-PE"/>
        </w:rPr>
        <w:t>responsable nacional</w:t>
      </w:r>
      <w:r w:rsidR="004C5910">
        <w:rPr>
          <w:rFonts w:ascii="Times New Roman" w:hAnsi="Times New Roman" w:cs="Times New Roman"/>
          <w:szCs w:val="24"/>
          <w:lang w:val="es-PE"/>
        </w:rPr>
        <w:t xml:space="preserve">, dicho responsable coordinaría </w:t>
      </w:r>
      <w:r>
        <w:rPr>
          <w:rFonts w:ascii="Times New Roman" w:hAnsi="Times New Roman" w:cs="Times New Roman"/>
          <w:szCs w:val="24"/>
          <w:lang w:val="es-PE"/>
        </w:rPr>
        <w:t xml:space="preserve">con la SER </w:t>
      </w:r>
      <w:r w:rsidR="004C5910">
        <w:rPr>
          <w:rFonts w:ascii="Times New Roman" w:hAnsi="Times New Roman" w:cs="Times New Roman"/>
          <w:szCs w:val="24"/>
          <w:lang w:val="es-PE"/>
        </w:rPr>
        <w:t>para llevar a cabo el proyecto en su país</w:t>
      </w:r>
      <w:r>
        <w:rPr>
          <w:rFonts w:ascii="Times New Roman" w:hAnsi="Times New Roman" w:cs="Times New Roman"/>
          <w:szCs w:val="24"/>
          <w:lang w:val="es-PE"/>
        </w:rPr>
        <w:t>.</w:t>
      </w:r>
    </w:p>
    <w:p w14:paraId="360B25EE" w14:textId="77777777" w:rsidR="00C01181" w:rsidRDefault="00C01181" w:rsidP="00C01181">
      <w:pPr>
        <w:pStyle w:val="EstiloTextoindependiente12pt"/>
        <w:rPr>
          <w:rFonts w:ascii="Times New Roman" w:hAnsi="Times New Roman" w:cs="Times New Roman"/>
          <w:szCs w:val="24"/>
          <w:lang w:val="es-PE"/>
        </w:rPr>
      </w:pPr>
    </w:p>
    <w:p w14:paraId="74305355" w14:textId="6DE14F20" w:rsidR="00C01181" w:rsidRPr="005E6189" w:rsidRDefault="005E6189" w:rsidP="00C01181">
      <w:pPr>
        <w:pStyle w:val="EstiloTextoindependiente12pt"/>
        <w:rPr>
          <w:rFonts w:ascii="Times New Roman" w:hAnsi="Times New Roman" w:cs="Times New Roman"/>
          <w:b/>
          <w:bCs/>
          <w:szCs w:val="24"/>
          <w:lang w:val="es-PE"/>
        </w:rPr>
      </w:pPr>
      <w:r w:rsidRPr="005E6189">
        <w:rPr>
          <w:rFonts w:ascii="Times New Roman" w:hAnsi="Times New Roman" w:cs="Times New Roman"/>
          <w:b/>
          <w:bCs/>
          <w:szCs w:val="24"/>
          <w:lang w:val="es-PE"/>
        </w:rPr>
        <w:t>Publicaciones:</w:t>
      </w:r>
    </w:p>
    <w:p w14:paraId="1565BCC8" w14:textId="77777777" w:rsidR="00C01181" w:rsidRDefault="00C01181" w:rsidP="00C01181">
      <w:pPr>
        <w:pStyle w:val="EstiloTextoindependiente12pt"/>
        <w:rPr>
          <w:rFonts w:ascii="Times New Roman" w:hAnsi="Times New Roman" w:cs="Times New Roman"/>
          <w:szCs w:val="24"/>
          <w:lang w:val="es-PE"/>
        </w:rPr>
      </w:pPr>
    </w:p>
    <w:p w14:paraId="12B3B06F" w14:textId="77777777" w:rsidR="005E6189" w:rsidRDefault="005E6189" w:rsidP="005E61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Hasta hoy marzo del 2022 se cuenta con las siguientes publicaciones </w:t>
      </w:r>
    </w:p>
    <w:p w14:paraId="12844175" w14:textId="77777777" w:rsidR="005E6189" w:rsidRDefault="005E6189" w:rsidP="005E6189">
      <w:pPr>
        <w:jc w:val="both"/>
        <w:rPr>
          <w:sz w:val="24"/>
          <w:szCs w:val="24"/>
        </w:rPr>
      </w:pPr>
    </w:p>
    <w:p w14:paraId="76CFE2A4" w14:textId="77777777" w:rsidR="005E6189" w:rsidRDefault="005E6189" w:rsidP="005E6189">
      <w:pPr>
        <w:jc w:val="both"/>
        <w:rPr>
          <w:sz w:val="24"/>
          <w:szCs w:val="24"/>
        </w:rPr>
      </w:pPr>
      <w:r>
        <w:rPr>
          <w:sz w:val="24"/>
          <w:szCs w:val="24"/>
        </w:rPr>
        <w:t>Dos publicaciones conjuntas de BIOBABRASIL (Brasil) y BIOBADASAR (argentina):</w:t>
      </w:r>
    </w:p>
    <w:p w14:paraId="2036B62D" w14:textId="77777777" w:rsidR="005E6189" w:rsidRDefault="005E6189" w:rsidP="005E6189">
      <w:pPr>
        <w:jc w:val="both"/>
        <w:rPr>
          <w:sz w:val="24"/>
          <w:szCs w:val="24"/>
        </w:rPr>
      </w:pPr>
    </w:p>
    <w:p w14:paraId="6DF794EB" w14:textId="77777777" w:rsidR="005E6189" w:rsidRPr="00630970" w:rsidRDefault="005E6189" w:rsidP="005E6189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630970">
        <w:rPr>
          <w:sz w:val="24"/>
          <w:szCs w:val="24"/>
        </w:rPr>
        <w:t>Changing rate of serious infections in biologic-exposed rheumatoid arthritis patients. Data from South American registries BIOBADABRASIL and BIOBADASAR</w:t>
      </w:r>
    </w:p>
    <w:p w14:paraId="4E18DA88" w14:textId="77777777" w:rsidR="005E6189" w:rsidRDefault="005E6189" w:rsidP="005E618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hyperlink r:id="rId8" w:history="1">
        <w:r w:rsidRPr="00DB3846">
          <w:rPr>
            <w:rStyle w:val="Hipervnculo"/>
            <w:sz w:val="24"/>
            <w:szCs w:val="24"/>
          </w:rPr>
          <w:t>https://link.springer.com/article/10.1007/s10067-019-04516-2</w:t>
        </w:r>
      </w:hyperlink>
      <w:r>
        <w:rPr>
          <w:sz w:val="24"/>
          <w:szCs w:val="24"/>
        </w:rPr>
        <w:t xml:space="preserve"> ).</w:t>
      </w:r>
    </w:p>
    <w:p w14:paraId="2A846142" w14:textId="77777777" w:rsidR="005E6189" w:rsidRDefault="005E6189" w:rsidP="005E6189">
      <w:pPr>
        <w:ind w:firstLine="708"/>
        <w:jc w:val="both"/>
        <w:rPr>
          <w:sz w:val="24"/>
          <w:szCs w:val="24"/>
        </w:rPr>
      </w:pPr>
    </w:p>
    <w:p w14:paraId="3393F040" w14:textId="77777777" w:rsidR="005E6189" w:rsidRPr="00630970" w:rsidRDefault="005E6189" w:rsidP="005E6189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630970">
        <w:rPr>
          <w:sz w:val="24"/>
          <w:szCs w:val="24"/>
        </w:rPr>
        <w:t>BIOBADASER, BIOBADAMERICA, and BIOBADADERM:</w:t>
      </w:r>
    </w:p>
    <w:p w14:paraId="4D74A7D5" w14:textId="77777777" w:rsidR="005E6189" w:rsidRDefault="005E6189" w:rsidP="005E6189">
      <w:pPr>
        <w:ind w:firstLine="708"/>
        <w:jc w:val="both"/>
        <w:rPr>
          <w:sz w:val="24"/>
          <w:szCs w:val="24"/>
        </w:rPr>
      </w:pPr>
      <w:r w:rsidRPr="00630970">
        <w:rPr>
          <w:sz w:val="24"/>
          <w:szCs w:val="24"/>
        </w:rPr>
        <w:t>safety registers sharing commonalities across diseases and countries</w:t>
      </w:r>
    </w:p>
    <w:p w14:paraId="0F577564" w14:textId="77777777" w:rsidR="005E6189" w:rsidRDefault="005E6189" w:rsidP="005E6189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hyperlink r:id="rId9" w:history="1">
        <w:r w:rsidRPr="00E76F80">
          <w:rPr>
            <w:rStyle w:val="Hipervnculo"/>
            <w:sz w:val="24"/>
            <w:szCs w:val="24"/>
          </w:rPr>
          <w:t>https://www.reumatologia.org.ar/_recursos/registros/archivos/2021052103111711851.pdf</w:t>
        </w:r>
      </w:hyperlink>
      <w:r>
        <w:rPr>
          <w:sz w:val="24"/>
          <w:szCs w:val="24"/>
        </w:rPr>
        <w:t xml:space="preserve"> ) </w:t>
      </w:r>
    </w:p>
    <w:p w14:paraId="293F3D18" w14:textId="77777777" w:rsidR="005E6189" w:rsidRDefault="005E6189" w:rsidP="005E6189">
      <w:pPr>
        <w:jc w:val="both"/>
        <w:rPr>
          <w:sz w:val="24"/>
          <w:szCs w:val="24"/>
        </w:rPr>
      </w:pPr>
    </w:p>
    <w:p w14:paraId="7A178B4C" w14:textId="77777777" w:rsidR="005E6189" w:rsidRDefault="005E6189" w:rsidP="005E6189">
      <w:pPr>
        <w:jc w:val="both"/>
        <w:rPr>
          <w:sz w:val="24"/>
          <w:szCs w:val="24"/>
        </w:rPr>
      </w:pPr>
      <w:r>
        <w:rPr>
          <w:sz w:val="24"/>
          <w:szCs w:val="24"/>
        </w:rPr>
        <w:t>Una de BIOBADAGUAY (Uruguay y Paraguay):</w:t>
      </w:r>
    </w:p>
    <w:p w14:paraId="7447CAAF" w14:textId="77777777" w:rsidR="005E6189" w:rsidRDefault="005E6189" w:rsidP="005E6189">
      <w:pPr>
        <w:jc w:val="both"/>
        <w:rPr>
          <w:sz w:val="24"/>
          <w:szCs w:val="24"/>
        </w:rPr>
      </w:pPr>
    </w:p>
    <w:p w14:paraId="013780F5" w14:textId="77777777" w:rsidR="005E6189" w:rsidRPr="00630970" w:rsidRDefault="005E6189" w:rsidP="005E6189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630970">
        <w:rPr>
          <w:sz w:val="24"/>
          <w:szCs w:val="24"/>
        </w:rPr>
        <w:t>Análisis del componente subjetivo del DAS28 en dos poblaciones de América del Sur con artritis reumatoide en tratamiento con agentes biológicos</w:t>
      </w:r>
    </w:p>
    <w:p w14:paraId="495AE157" w14:textId="77777777" w:rsidR="005E6189" w:rsidRDefault="005E6189" w:rsidP="005E618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hyperlink r:id="rId10" w:history="1">
        <w:r w:rsidRPr="00DB3846">
          <w:rPr>
            <w:rStyle w:val="Hipervnculo"/>
            <w:sz w:val="24"/>
            <w:szCs w:val="24"/>
          </w:rPr>
          <w:t>https://www.revista.spr.org.py/index.php/spr/article/view/117</w:t>
        </w:r>
      </w:hyperlink>
      <w:r>
        <w:rPr>
          <w:sz w:val="24"/>
          <w:szCs w:val="24"/>
        </w:rPr>
        <w:t xml:space="preserve"> ). </w:t>
      </w:r>
    </w:p>
    <w:p w14:paraId="3E839223" w14:textId="77777777" w:rsidR="005E6189" w:rsidRDefault="005E6189" w:rsidP="005E6189">
      <w:pPr>
        <w:jc w:val="both"/>
        <w:rPr>
          <w:sz w:val="24"/>
          <w:szCs w:val="24"/>
        </w:rPr>
      </w:pPr>
    </w:p>
    <w:p w14:paraId="588A0B40" w14:textId="77777777" w:rsidR="005E6189" w:rsidRDefault="005E6189" w:rsidP="005E61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 de BIOBADAMEX: </w:t>
      </w:r>
    </w:p>
    <w:p w14:paraId="42DE7B7A" w14:textId="77777777" w:rsidR="005E6189" w:rsidRDefault="005E6189" w:rsidP="005E6189">
      <w:pPr>
        <w:jc w:val="both"/>
        <w:rPr>
          <w:sz w:val="24"/>
          <w:szCs w:val="24"/>
        </w:rPr>
      </w:pPr>
    </w:p>
    <w:p w14:paraId="6C33E05E" w14:textId="77777777" w:rsidR="005E6189" w:rsidRPr="00630970" w:rsidRDefault="005E6189" w:rsidP="005E6189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630970">
        <w:rPr>
          <w:sz w:val="24"/>
          <w:szCs w:val="24"/>
        </w:rPr>
        <w:t>Terapia biológica: sobrevida y seguridad en padecimientos reumáticos. Resultados del Registro Nacional Biobadamex 1.0</w:t>
      </w:r>
    </w:p>
    <w:p w14:paraId="1D336951" w14:textId="77777777" w:rsidR="005E6189" w:rsidRDefault="005E6189" w:rsidP="005E6189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hyperlink r:id="rId11" w:history="1">
        <w:r w:rsidRPr="00E76F80">
          <w:rPr>
            <w:rStyle w:val="Hipervnculo"/>
            <w:sz w:val="24"/>
            <w:szCs w:val="24"/>
          </w:rPr>
          <w:t>https://www.reumatologiaclinica.org/es-terapia-biologica-sobrevida-seguridad-padecimientos-articulo-S1699258X12000940</w:t>
        </w:r>
      </w:hyperlink>
      <w:r>
        <w:rPr>
          <w:sz w:val="24"/>
          <w:szCs w:val="24"/>
        </w:rPr>
        <w:t xml:space="preserve"> )</w:t>
      </w:r>
    </w:p>
    <w:p w14:paraId="585C02F2" w14:textId="77777777" w:rsidR="005E6189" w:rsidRDefault="005E6189" w:rsidP="005E6189">
      <w:pPr>
        <w:jc w:val="both"/>
        <w:rPr>
          <w:sz w:val="24"/>
          <w:szCs w:val="24"/>
        </w:rPr>
      </w:pPr>
    </w:p>
    <w:p w14:paraId="5CE9D26F" w14:textId="77777777" w:rsidR="005E6189" w:rsidRPr="00630970" w:rsidRDefault="005E6189" w:rsidP="005E6189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 w:rsidRPr="00630970">
        <w:rPr>
          <w:sz w:val="24"/>
          <w:szCs w:val="24"/>
        </w:rPr>
        <w:t xml:space="preserve">The importance of rheumatology biologic registries in Latin America </w:t>
      </w:r>
    </w:p>
    <w:p w14:paraId="113AC1F8" w14:textId="77777777" w:rsidR="005E6189" w:rsidRDefault="005E6189" w:rsidP="005E618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hyperlink r:id="rId12" w:history="1">
        <w:r w:rsidRPr="00E76F80">
          <w:rPr>
            <w:rStyle w:val="Hipervnculo"/>
            <w:sz w:val="24"/>
            <w:szCs w:val="24"/>
          </w:rPr>
          <w:t>https://pubmed.ncbi.nlm.nih.gov/23263547/</w:t>
        </w:r>
      </w:hyperlink>
      <w:r>
        <w:rPr>
          <w:sz w:val="24"/>
          <w:szCs w:val="24"/>
        </w:rPr>
        <w:t>)</w:t>
      </w:r>
    </w:p>
    <w:p w14:paraId="1630122D" w14:textId="77777777" w:rsidR="005E6189" w:rsidRPr="00194BB8" w:rsidRDefault="005E6189" w:rsidP="005E6189">
      <w:pPr>
        <w:jc w:val="both"/>
        <w:rPr>
          <w:sz w:val="24"/>
          <w:szCs w:val="24"/>
        </w:rPr>
      </w:pPr>
    </w:p>
    <w:p w14:paraId="20AA872F" w14:textId="77777777" w:rsidR="005E5F82" w:rsidRDefault="005E5F82"/>
    <w:sectPr w:rsidR="005E5F8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83F27" w14:textId="77777777" w:rsidR="00805C99" w:rsidRDefault="00805C99" w:rsidP="00811EAD">
      <w:r>
        <w:separator/>
      </w:r>
    </w:p>
  </w:endnote>
  <w:endnote w:type="continuationSeparator" w:id="0">
    <w:p w14:paraId="3BB1C0D6" w14:textId="77777777" w:rsidR="00805C99" w:rsidRDefault="00805C99" w:rsidP="0081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2045" w14:textId="77777777" w:rsidR="00B40411" w:rsidRDefault="00B404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93C2A" w14:textId="77777777" w:rsidR="00B40411" w:rsidRDefault="00B40411">
    <w:pPr>
      <w:pStyle w:val="Piedepgina"/>
    </w:pPr>
  </w:p>
  <w:p w14:paraId="3D1C5EFE" w14:textId="2433E531" w:rsidR="00B40411" w:rsidRDefault="00B40411">
    <w:pPr>
      <w:pStyle w:val="Piedepgin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BB7F5E8" wp14:editId="75EC5A78">
          <wp:simplePos x="0" y="0"/>
          <wp:positionH relativeFrom="margin">
            <wp:align>center</wp:align>
          </wp:positionH>
          <wp:positionV relativeFrom="paragraph">
            <wp:posOffset>19050</wp:posOffset>
          </wp:positionV>
          <wp:extent cx="1628775" cy="476250"/>
          <wp:effectExtent l="0" t="0" r="9525" b="0"/>
          <wp:wrapNone/>
          <wp:docPr id="1" name="Imagen 1" descr="https://biobadaser.ser.es/biobadamerica/imagenes/PlantillaBiobadamerica.data_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s://biobadaser.ser.es/biobadamerica/imagenes/PlantillaBiobadamerica.data_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786E31" w14:textId="1F448F23" w:rsidR="001830DA" w:rsidRDefault="00A22AEF">
    <w:pPr>
      <w:pStyle w:val="Piedepgina"/>
    </w:pPr>
    <w:r>
      <w:rPr>
        <w:noProof/>
        <w:sz w:val="27"/>
        <w:szCs w:val="27"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2F02C5" wp14:editId="2E9ADDBD">
              <wp:simplePos x="0" y="0"/>
              <wp:positionH relativeFrom="column">
                <wp:posOffset>-743585</wp:posOffset>
              </wp:positionH>
              <wp:positionV relativeFrom="paragraph">
                <wp:posOffset>-311150</wp:posOffset>
              </wp:positionV>
              <wp:extent cx="6604000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4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52C42D" id="Conector recto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55pt,-24.5pt" to="461.45pt,-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" strokecolor="#4472c4 [3204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33DC" w14:textId="77777777" w:rsidR="00B40411" w:rsidRDefault="00B404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B9857" w14:textId="77777777" w:rsidR="00805C99" w:rsidRDefault="00805C99" w:rsidP="00811EAD">
      <w:r>
        <w:separator/>
      </w:r>
    </w:p>
  </w:footnote>
  <w:footnote w:type="continuationSeparator" w:id="0">
    <w:p w14:paraId="489FC272" w14:textId="77777777" w:rsidR="00805C99" w:rsidRDefault="00805C99" w:rsidP="00811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EFD97" w14:textId="77777777" w:rsidR="00B40411" w:rsidRDefault="00B404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BC80" w14:textId="1C3959EE" w:rsidR="00811EAD" w:rsidRDefault="003966B4">
    <w:pPr>
      <w:pStyle w:val="Encabezado"/>
    </w:pPr>
    <w:r>
      <w:rPr>
        <w:noProof/>
        <w:sz w:val="27"/>
        <w:szCs w:val="27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5FBEE4D" wp14:editId="631DA0F5">
              <wp:simplePos x="0" y="0"/>
              <wp:positionH relativeFrom="margin">
                <wp:posOffset>-572135</wp:posOffset>
              </wp:positionH>
              <wp:positionV relativeFrom="paragraph">
                <wp:posOffset>445770</wp:posOffset>
              </wp:positionV>
              <wp:extent cx="6489700" cy="6350"/>
              <wp:effectExtent l="0" t="0" r="25400" b="3175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9700" cy="6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68C237" id="Conector recto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5.05pt,35.1pt" to="465.9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" strokecolor="#4472c4 [3204]" strokeweight=".5pt">
              <v:stroke joinstyle="miter"/>
              <w10:wrap anchorx="margin"/>
            </v:line>
          </w:pict>
        </mc:Fallback>
      </mc:AlternateContent>
    </w:r>
    <w:r w:rsidR="00A22AEF"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6AAC3B57" wp14:editId="149BBAEB">
          <wp:simplePos x="0" y="0"/>
          <wp:positionH relativeFrom="margin">
            <wp:align>left</wp:align>
          </wp:positionH>
          <wp:positionV relativeFrom="paragraph">
            <wp:posOffset>-159385</wp:posOffset>
          </wp:positionV>
          <wp:extent cx="2171700" cy="436245"/>
          <wp:effectExtent l="0" t="0" r="0" b="1905"/>
          <wp:wrapNone/>
          <wp:docPr id="2" name="Imagen 2" descr="Biobadameric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obadamerica 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2AEF" w:rsidRPr="00504614">
      <w:rPr>
        <w:noProof/>
      </w:rPr>
      <w:drawing>
        <wp:anchor distT="0" distB="0" distL="114300" distR="114300" simplePos="0" relativeHeight="251660288" behindDoc="0" locked="0" layoutInCell="1" allowOverlap="1" wp14:anchorId="0A91A8A3" wp14:editId="3EE36418">
          <wp:simplePos x="0" y="0"/>
          <wp:positionH relativeFrom="margin">
            <wp:align>right</wp:align>
          </wp:positionH>
          <wp:positionV relativeFrom="paragraph">
            <wp:posOffset>-201295</wp:posOffset>
          </wp:positionV>
          <wp:extent cx="2695575" cy="504825"/>
          <wp:effectExtent l="0" t="0" r="9525" b="9525"/>
          <wp:wrapNone/>
          <wp:docPr id="11" name="Imagen 9" descr="Z:\COMUN\RECURSOS\LOGOS\_SER_FER\LOGO_SER\SER_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:\COMUN\RECURSOS\LOGOS\_SER_FER\LOGO_SER\SER_H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F3AC2" w14:textId="77777777" w:rsidR="00B40411" w:rsidRDefault="00B404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D5FE9"/>
    <w:multiLevelType w:val="hybridMultilevel"/>
    <w:tmpl w:val="73C27366"/>
    <w:lvl w:ilvl="0" w:tplc="B3B602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465A7"/>
    <w:multiLevelType w:val="hybridMultilevel"/>
    <w:tmpl w:val="219E1E9C"/>
    <w:lvl w:ilvl="0" w:tplc="47DE89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181"/>
    <w:rsid w:val="00140428"/>
    <w:rsid w:val="001830DA"/>
    <w:rsid w:val="00281319"/>
    <w:rsid w:val="00292006"/>
    <w:rsid w:val="0038600E"/>
    <w:rsid w:val="003966B4"/>
    <w:rsid w:val="004C5910"/>
    <w:rsid w:val="00527528"/>
    <w:rsid w:val="00527837"/>
    <w:rsid w:val="005C699A"/>
    <w:rsid w:val="005E5F82"/>
    <w:rsid w:val="005E6189"/>
    <w:rsid w:val="00630970"/>
    <w:rsid w:val="00660B74"/>
    <w:rsid w:val="00750C8B"/>
    <w:rsid w:val="007A7F88"/>
    <w:rsid w:val="00805C99"/>
    <w:rsid w:val="00811EAD"/>
    <w:rsid w:val="00844FC3"/>
    <w:rsid w:val="008F69E5"/>
    <w:rsid w:val="00A22AEF"/>
    <w:rsid w:val="00B40411"/>
    <w:rsid w:val="00BD776A"/>
    <w:rsid w:val="00C01181"/>
    <w:rsid w:val="00DD4E0C"/>
    <w:rsid w:val="00E742A8"/>
    <w:rsid w:val="00F27650"/>
    <w:rsid w:val="00F7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49AF1B0"/>
  <w15:chartTrackingRefBased/>
  <w15:docId w15:val="{6C9A9287-05DD-45EF-89BA-BD6774E1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01181"/>
    <w:rPr>
      <w:color w:val="0000FF"/>
      <w:u w:val="single"/>
    </w:rPr>
  </w:style>
  <w:style w:type="paragraph" w:customStyle="1" w:styleId="EstiloTextoindependiente12pt">
    <w:name w:val="Estilo Texto independiente + 12 pt"/>
    <w:basedOn w:val="Textoindependiente"/>
    <w:link w:val="EstiloTextoindependiente12ptCar"/>
    <w:rsid w:val="00C01181"/>
    <w:pPr>
      <w:autoSpaceDE w:val="0"/>
      <w:autoSpaceDN w:val="0"/>
      <w:spacing w:before="40" w:after="40"/>
      <w:jc w:val="both"/>
    </w:pPr>
    <w:rPr>
      <w:rFonts w:ascii="Arial" w:hAnsi="Arial" w:cs="Arial"/>
      <w:sz w:val="24"/>
      <w:lang w:val="es-ES_tradnl"/>
    </w:rPr>
  </w:style>
  <w:style w:type="character" w:customStyle="1" w:styleId="EstiloTextoindependiente12ptCar">
    <w:name w:val="Estilo Texto independiente + 12 pt Car"/>
    <w:basedOn w:val="Fuentedeprrafopredeter"/>
    <w:link w:val="EstiloTextoindependiente12pt"/>
    <w:rsid w:val="00C01181"/>
    <w:rPr>
      <w:rFonts w:ascii="Arial" w:eastAsia="Times New Roman" w:hAnsi="Arial" w:cs="Arial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0118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01181"/>
    <w:rPr>
      <w:rFonts w:ascii="Times New Roman" w:eastAsia="Times New Roman" w:hAnsi="Times New Roman" w:cs="Times New Roman"/>
      <w:sz w:val="20"/>
      <w:szCs w:val="20"/>
      <w:lang w:val="es-PE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C591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F276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765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7650"/>
    <w:rPr>
      <w:rFonts w:ascii="Times New Roman" w:eastAsia="Times New Roman" w:hAnsi="Times New Roman" w:cs="Times New Roman"/>
      <w:sz w:val="20"/>
      <w:szCs w:val="20"/>
      <w:lang w:val="es-PE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76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7650"/>
    <w:rPr>
      <w:rFonts w:ascii="Times New Roman" w:eastAsia="Times New Roman" w:hAnsi="Times New Roman" w:cs="Times New Roman"/>
      <w:b/>
      <w:bCs/>
      <w:sz w:val="20"/>
      <w:szCs w:val="20"/>
      <w:lang w:val="es-P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76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650"/>
    <w:rPr>
      <w:rFonts w:ascii="Segoe UI" w:eastAsia="Times New Roman" w:hAnsi="Segoe UI" w:cs="Segoe UI"/>
      <w:sz w:val="18"/>
      <w:szCs w:val="18"/>
      <w:lang w:val="es-PE" w:eastAsia="es-ES"/>
    </w:rPr>
  </w:style>
  <w:style w:type="paragraph" w:styleId="Encabezado">
    <w:name w:val="header"/>
    <w:basedOn w:val="Normal"/>
    <w:link w:val="EncabezadoCar"/>
    <w:uiPriority w:val="99"/>
    <w:unhideWhenUsed/>
    <w:rsid w:val="00811E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1EAD"/>
    <w:rPr>
      <w:rFonts w:ascii="Times New Roman" w:eastAsia="Times New Roman" w:hAnsi="Times New Roman" w:cs="Times New Roman"/>
      <w:sz w:val="20"/>
      <w:szCs w:val="20"/>
      <w:lang w:val="es-PE" w:eastAsia="es-ES"/>
    </w:rPr>
  </w:style>
  <w:style w:type="paragraph" w:styleId="Piedepgina">
    <w:name w:val="footer"/>
    <w:basedOn w:val="Normal"/>
    <w:link w:val="PiedepginaCar"/>
    <w:uiPriority w:val="99"/>
    <w:unhideWhenUsed/>
    <w:rsid w:val="00811E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1EAD"/>
    <w:rPr>
      <w:rFonts w:ascii="Times New Roman" w:eastAsia="Times New Roman" w:hAnsi="Times New Roman" w:cs="Times New Roman"/>
      <w:sz w:val="20"/>
      <w:szCs w:val="20"/>
      <w:lang w:val="es-PE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3097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30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article/10.1007/s10067-019-04516-2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iobadaser.ser.es/" TargetMode="External"/><Relationship Id="rId12" Type="http://schemas.openxmlformats.org/officeDocument/2006/relationships/hyperlink" Target="https://pubmed.ncbi.nlm.nih.gov/23263547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umatologiaclinica.org/es-terapia-biologica-sobrevida-seguridad-padecimientos-articulo-S1699258X1200094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revista.spr.org.py/index.php/spr/article/view/11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umatologia.org.ar/_recursos/registros/archivos/2021052103111711851.pdf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742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 Roger</dc:creator>
  <cp:keywords/>
  <dc:description/>
  <cp:lastModifiedBy>Dante Roger</cp:lastModifiedBy>
  <cp:revision>16</cp:revision>
  <dcterms:created xsi:type="dcterms:W3CDTF">2022-03-09T09:50:00Z</dcterms:created>
  <dcterms:modified xsi:type="dcterms:W3CDTF">2022-03-10T12:54:00Z</dcterms:modified>
</cp:coreProperties>
</file>