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6"/>
        <w:gridCol w:w="6076"/>
      </w:tblGrid>
      <w:tr w:rsidR="006A1773" w:rsidRPr="006442DD" w:rsidTr="006A1773">
        <w:trPr>
          <w:cantSplit/>
          <w:trHeight w:val="12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773" w:rsidRPr="006442DD" w:rsidRDefault="006A1773"/>
        </w:tc>
        <w:tc>
          <w:tcPr>
            <w:tcW w:w="60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773" w:rsidRPr="006442DD" w:rsidRDefault="006A1773" w:rsidP="00B373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42DD">
              <w:rPr>
                <w:rFonts w:ascii="Arial" w:hAnsi="Arial" w:cs="Arial"/>
                <w:b/>
                <w:bCs/>
              </w:rPr>
              <w:t>CENTRO:</w:t>
            </w:r>
            <w:r w:rsidRPr="006442DD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6A1773" w:rsidRPr="006442DD" w:rsidRDefault="006A1773" w:rsidP="00B37368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</w:rPr>
            </w:pPr>
            <w:r w:rsidRPr="006442DD">
              <w:rPr>
                <w:rFonts w:ascii="Arial" w:hAnsi="Arial"/>
                <w:b/>
              </w:rPr>
              <w:t xml:space="preserve">NOMBRE: </w:t>
            </w:r>
            <w:r w:rsidRPr="006442DD">
              <w:rPr>
                <w:rFonts w:ascii="Arial" w:hAnsi="Arial"/>
              </w:rPr>
              <w:tab/>
            </w:r>
          </w:p>
          <w:p w:rsidR="00B37368" w:rsidRPr="006442DD" w:rsidRDefault="006A1773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</w:rPr>
            </w:pPr>
            <w:r w:rsidRPr="006442DD">
              <w:rPr>
                <w:rFonts w:ascii="Arial" w:hAnsi="Arial"/>
                <w:b/>
              </w:rPr>
              <w:t xml:space="preserve">PROCEDENCIA (CAMA): </w:t>
            </w:r>
            <w:r w:rsidRPr="006442DD">
              <w:rPr>
                <w:rFonts w:ascii="Arial" w:hAnsi="Arial"/>
              </w:rPr>
              <w:tab/>
              <w:t>......................</w:t>
            </w:r>
          </w:p>
          <w:p w:rsidR="006A1773" w:rsidRPr="006442DD" w:rsidRDefault="006A1773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</w:rPr>
            </w:pPr>
            <w:r w:rsidRPr="006442DD">
              <w:rPr>
                <w:rFonts w:ascii="Arial" w:hAnsi="Arial"/>
                <w:b/>
              </w:rPr>
              <w:t xml:space="preserve">NHC: </w:t>
            </w:r>
            <w:r w:rsidRPr="006442DD">
              <w:rPr>
                <w:rFonts w:ascii="Arial" w:hAnsi="Arial"/>
              </w:rPr>
              <w:tab/>
            </w:r>
          </w:p>
          <w:p w:rsidR="00B37368" w:rsidRPr="006442DD" w:rsidRDefault="006A1773" w:rsidP="00B37368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</w:rPr>
            </w:pPr>
            <w:r w:rsidRPr="006442DD">
              <w:rPr>
                <w:rFonts w:ascii="Arial" w:hAnsi="Arial"/>
                <w:b/>
              </w:rPr>
              <w:t xml:space="preserve">FECHA: </w:t>
            </w:r>
            <w:r w:rsidRPr="006442DD">
              <w:rPr>
                <w:rFonts w:ascii="Arial" w:hAnsi="Arial"/>
              </w:rPr>
              <w:tab/>
            </w:r>
            <w:r w:rsidRPr="006442DD">
              <w:rPr>
                <w:rFonts w:ascii="Arial" w:hAnsi="Arial"/>
                <w:b/>
              </w:rPr>
              <w:t>/</w:t>
            </w:r>
            <w:r w:rsidRPr="006442DD">
              <w:rPr>
                <w:rFonts w:ascii="Arial" w:hAnsi="Arial"/>
              </w:rPr>
              <w:tab/>
            </w:r>
            <w:r w:rsidRPr="006442DD">
              <w:rPr>
                <w:rFonts w:ascii="Arial" w:hAnsi="Arial"/>
                <w:b/>
              </w:rPr>
              <w:t>/</w:t>
            </w:r>
            <w:r w:rsidRPr="006442DD">
              <w:rPr>
                <w:rFonts w:ascii="Arial" w:hAnsi="Arial"/>
              </w:rPr>
              <w:tab/>
            </w:r>
          </w:p>
          <w:p w:rsidR="006A1773" w:rsidRPr="006442DD" w:rsidRDefault="006A1773" w:rsidP="008C627F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</w:rPr>
            </w:pPr>
            <w:r w:rsidRPr="006442DD">
              <w:rPr>
                <w:rFonts w:ascii="Arial" w:hAnsi="Arial"/>
                <w:b/>
              </w:rPr>
              <w:t>GÉNERO:</w:t>
            </w:r>
            <w:r w:rsidR="008C627F" w:rsidRPr="006442DD">
              <w:rPr>
                <w:rFonts w:ascii="Arial" w:hAnsi="Arial"/>
                <w:b/>
              </w:rPr>
              <w:t>……….</w:t>
            </w:r>
          </w:p>
        </w:tc>
      </w:tr>
      <w:tr w:rsidR="006A1773" w:rsidRPr="006442DD" w:rsidTr="006A1773">
        <w:trPr>
          <w:cantSplit/>
          <w:trHeight w:val="113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3" w:rsidRPr="006442DD" w:rsidRDefault="002929B3">
            <w:r w:rsidRPr="006442DD">
              <w:rPr>
                <w:noProof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inline distT="0" distB="0" distL="0" distR="0">
                  <wp:extent cx="2832100" cy="1447800"/>
                  <wp:effectExtent l="0" t="0" r="0" b="0"/>
                  <wp:docPr id="1" name="Imagen 1" descr="SER_V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_V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773" w:rsidRPr="006442DD" w:rsidRDefault="006A1773">
            <w:pPr>
              <w:jc w:val="center"/>
              <w:rPr>
                <w:rFonts w:ascii="Arial" w:hAnsi="Arial"/>
                <w:i/>
                <w:iCs/>
              </w:rPr>
            </w:pPr>
          </w:p>
        </w:tc>
      </w:tr>
      <w:tr w:rsidR="00A8365D" w:rsidRPr="006442DD">
        <w:trPr>
          <w:trHeight w:val="418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8365D" w:rsidRPr="006442DD" w:rsidRDefault="00A8365D">
            <w:pPr>
              <w:pStyle w:val="Encabezado"/>
              <w:jc w:val="center"/>
              <w:rPr>
                <w:rFonts w:ascii="Arial" w:hAnsi="Arial"/>
                <w:b/>
                <w:i/>
                <w:iCs/>
              </w:rPr>
            </w:pPr>
            <w:r w:rsidRPr="006442DD">
              <w:rPr>
                <w:rFonts w:ascii="Arial" w:hAnsi="Arial"/>
                <w:b/>
                <w:i/>
                <w:iCs/>
              </w:rPr>
              <w:t xml:space="preserve">HOJA DE </w:t>
            </w:r>
            <w:r w:rsidR="00FD4556">
              <w:rPr>
                <w:rFonts w:ascii="Arial" w:hAnsi="Arial"/>
                <w:b/>
                <w:i/>
                <w:iCs/>
              </w:rPr>
              <w:t xml:space="preserve">CONSENTIMIENTO INFORMADO </w:t>
            </w:r>
          </w:p>
        </w:tc>
        <w:tc>
          <w:tcPr>
            <w:tcW w:w="60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65D" w:rsidRPr="006442DD" w:rsidRDefault="00A8365D">
            <w:pPr>
              <w:pStyle w:val="Encabezado"/>
              <w:jc w:val="center"/>
              <w:rPr>
                <w:rFonts w:ascii="Arial" w:hAnsi="Arial"/>
                <w:b/>
                <w:i/>
                <w:iCs/>
              </w:rPr>
            </w:pPr>
            <w:r w:rsidRPr="006442DD">
              <w:rPr>
                <w:rFonts w:ascii="Arial" w:hAnsi="Arial"/>
                <w:b/>
                <w:i/>
                <w:iCs/>
                <w:caps/>
                <w:noProof/>
              </w:rPr>
              <w:t>REUMATOLOGÍA</w:t>
            </w:r>
          </w:p>
        </w:tc>
      </w:tr>
      <w:tr w:rsidR="00A8365D" w:rsidRPr="006442DD">
        <w:trPr>
          <w:cantSplit/>
          <w:trHeight w:val="3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5D" w:rsidRPr="006442DD" w:rsidRDefault="00A8365D" w:rsidP="00BF5DF4">
            <w:pPr>
              <w:pStyle w:val="Encabezado"/>
              <w:tabs>
                <w:tab w:val="clear" w:pos="4252"/>
                <w:tab w:val="clear" w:pos="8504"/>
                <w:tab w:val="left" w:pos="9144"/>
              </w:tabs>
              <w:jc w:val="center"/>
              <w:rPr>
                <w:rFonts w:ascii="Arial" w:hAnsi="Arial"/>
                <w:b/>
              </w:rPr>
            </w:pPr>
            <w:r w:rsidRPr="006442DD">
              <w:rPr>
                <w:rFonts w:ascii="Arial" w:hAnsi="Arial"/>
                <w:b/>
              </w:rPr>
              <w:t xml:space="preserve">ACTUACIÓN: </w:t>
            </w:r>
            <w:r w:rsidR="00BF5DF4" w:rsidRPr="006442DD">
              <w:rPr>
                <w:rFonts w:ascii="Arial" w:hAnsi="Arial"/>
                <w:b/>
                <w:caps/>
                <w:noProof/>
              </w:rPr>
              <w:t xml:space="preserve">TRATAMIENTO CON </w:t>
            </w:r>
            <w:r w:rsidR="00FD4556" w:rsidRPr="006442DD">
              <w:rPr>
                <w:rFonts w:ascii="Arial" w:hAnsi="Arial"/>
                <w:b/>
                <w:caps/>
                <w:noProof/>
              </w:rPr>
              <w:t>CIMZIA</w:t>
            </w:r>
            <w:r w:rsidR="00FD4556" w:rsidRPr="006442DD">
              <w:rPr>
                <w:rFonts w:ascii="Arial" w:hAnsi="Arial" w:cs="Arial"/>
                <w:b/>
                <w:caps/>
                <w:color w:val="000000"/>
              </w:rPr>
              <w:t>®</w:t>
            </w:r>
            <w:r w:rsidR="00FD4556">
              <w:rPr>
                <w:rFonts w:ascii="Arial" w:hAnsi="Arial" w:cs="Arial"/>
                <w:b/>
                <w:caps/>
                <w:color w:val="000000"/>
              </w:rPr>
              <w:t xml:space="preserve"> (</w:t>
            </w:r>
            <w:r w:rsidR="00BF5DF4" w:rsidRPr="006442DD">
              <w:rPr>
                <w:rFonts w:ascii="Arial" w:hAnsi="Arial"/>
                <w:b/>
                <w:caps/>
                <w:noProof/>
              </w:rPr>
              <w:t>CERTOLIZUMAB</w:t>
            </w:r>
            <w:r w:rsidRPr="006442DD">
              <w:rPr>
                <w:rFonts w:ascii="Arial" w:hAnsi="Arial"/>
                <w:b/>
                <w:caps/>
                <w:noProof/>
              </w:rPr>
              <w:t xml:space="preserve"> </w:t>
            </w:r>
            <w:r w:rsidR="00BF5DF4" w:rsidRPr="006442DD">
              <w:rPr>
                <w:rFonts w:ascii="Arial" w:hAnsi="Arial"/>
                <w:b/>
                <w:caps/>
                <w:noProof/>
              </w:rPr>
              <w:t>PEGOL</w:t>
            </w:r>
            <w:r w:rsidRPr="006442DD">
              <w:rPr>
                <w:rFonts w:ascii="Arial" w:hAnsi="Arial"/>
                <w:b/>
                <w:caps/>
                <w:noProof/>
              </w:rPr>
              <w:t>)</w:t>
            </w:r>
          </w:p>
        </w:tc>
      </w:tr>
    </w:tbl>
    <w:p w:rsidR="00A8365D" w:rsidRPr="006442DD" w:rsidRDefault="00A8365D">
      <w:pPr>
        <w:pStyle w:val="Ttulo2"/>
      </w:pPr>
      <w:r w:rsidRPr="006442DD">
        <w:t>¿Qué le vamos a hacer?</w:t>
      </w:r>
    </w:p>
    <w:p w:rsidR="00A8365D" w:rsidRPr="006442DD" w:rsidRDefault="00A8365D">
      <w:pPr>
        <w:pStyle w:val="Ttulo3"/>
        <w:numPr>
          <w:ilvl w:val="0"/>
          <w:numId w:val="3"/>
        </w:numPr>
        <w:tabs>
          <w:tab w:val="clear" w:pos="227"/>
          <w:tab w:val="left" w:pos="284"/>
        </w:tabs>
        <w:rPr>
          <w:b/>
        </w:rPr>
      </w:pPr>
      <w:r w:rsidRPr="006442DD">
        <w:rPr>
          <w:b/>
        </w:rPr>
        <w:t>Qué objetivos persigue:</w:t>
      </w:r>
      <w:r w:rsidRPr="006442DD">
        <w:t xml:space="preserve"> </w:t>
      </w:r>
      <w:r w:rsidRPr="006442DD">
        <w:rPr>
          <w:noProof/>
        </w:rPr>
        <w:t xml:space="preserve">Aliviar los síntomas y frenar la progresión de </w:t>
      </w:r>
      <w:r w:rsidR="00FD4556">
        <w:rPr>
          <w:noProof/>
        </w:rPr>
        <w:t>su enfermedad (</w:t>
      </w:r>
      <w:r w:rsidR="00A85C49" w:rsidRPr="006442DD">
        <w:rPr>
          <w:noProof/>
        </w:rPr>
        <w:t>artritis reumatoide</w:t>
      </w:r>
      <w:r w:rsidR="00FD4556">
        <w:rPr>
          <w:noProof/>
        </w:rPr>
        <w:t>, artropatia psoriasica o espondilitis anquilosante)</w:t>
      </w:r>
      <w:r w:rsidRPr="006442DD">
        <w:rPr>
          <w:noProof/>
        </w:rPr>
        <w:t>.</w:t>
      </w:r>
      <w:r w:rsidRPr="006442DD">
        <w:rPr>
          <w:b/>
        </w:rPr>
        <w:t xml:space="preserve"> </w:t>
      </w:r>
    </w:p>
    <w:p w:rsidR="00A8365D" w:rsidRPr="006442DD" w:rsidRDefault="00A8365D">
      <w:pPr>
        <w:pStyle w:val="Ttulo3"/>
        <w:numPr>
          <w:ilvl w:val="0"/>
          <w:numId w:val="3"/>
        </w:numPr>
        <w:tabs>
          <w:tab w:val="clear" w:pos="227"/>
          <w:tab w:val="left" w:pos="284"/>
        </w:tabs>
        <w:rPr>
          <w:b/>
        </w:rPr>
      </w:pPr>
      <w:r w:rsidRPr="006442DD">
        <w:rPr>
          <w:b/>
        </w:rPr>
        <w:t>Descripción de la actuación</w:t>
      </w:r>
    </w:p>
    <w:p w:rsidR="00A8365D" w:rsidRPr="00FD4556" w:rsidRDefault="00A8365D" w:rsidP="00FD4556">
      <w:pPr>
        <w:numPr>
          <w:ilvl w:val="0"/>
          <w:numId w:val="1"/>
        </w:numPr>
        <w:tabs>
          <w:tab w:val="num" w:pos="426"/>
        </w:tabs>
        <w:spacing w:before="60"/>
        <w:ind w:left="426" w:right="111" w:hanging="219"/>
        <w:jc w:val="both"/>
        <w:rPr>
          <w:rFonts w:ascii="Arial" w:hAnsi="Arial"/>
          <w:noProof/>
        </w:rPr>
      </w:pPr>
      <w:r w:rsidRPr="006442DD">
        <w:rPr>
          <w:rFonts w:ascii="Arial" w:hAnsi="Arial"/>
          <w:b/>
        </w:rPr>
        <w:t>En qué consiste:</w:t>
      </w:r>
      <w:r w:rsidRPr="006442DD">
        <w:rPr>
          <w:rFonts w:ascii="Arial" w:hAnsi="Arial"/>
        </w:rPr>
        <w:t xml:space="preserve"> </w:t>
      </w:r>
      <w:r w:rsidR="00BF5DF4" w:rsidRPr="006442DD">
        <w:rPr>
          <w:rFonts w:ascii="Arial" w:hAnsi="Arial"/>
          <w:noProof/>
        </w:rPr>
        <w:t>C</w:t>
      </w:r>
      <w:r w:rsidR="00FD4556">
        <w:rPr>
          <w:rFonts w:ascii="Arial" w:hAnsi="Arial"/>
          <w:noProof/>
        </w:rPr>
        <w:t>imzia</w:t>
      </w:r>
      <w:r w:rsidR="00FD4556">
        <w:rPr>
          <w:rFonts w:ascii="Arial" w:hAnsi="Arial" w:cs="Arial"/>
          <w:noProof/>
        </w:rPr>
        <w:t xml:space="preserve">® </w:t>
      </w:r>
      <w:r w:rsidRPr="006442DD">
        <w:rPr>
          <w:rFonts w:ascii="Arial" w:hAnsi="Arial"/>
          <w:noProof/>
        </w:rPr>
        <w:t>es un f</w:t>
      </w:r>
      <w:r w:rsidR="00BF5DF4" w:rsidRPr="006442DD">
        <w:rPr>
          <w:rFonts w:ascii="Arial" w:hAnsi="Arial"/>
          <w:noProof/>
        </w:rPr>
        <w:t xml:space="preserve">ragmento de </w:t>
      </w:r>
      <w:r w:rsidR="00FD4556">
        <w:rPr>
          <w:rFonts w:ascii="Arial" w:hAnsi="Arial"/>
          <w:noProof/>
        </w:rPr>
        <w:t xml:space="preserve">un </w:t>
      </w:r>
      <w:r w:rsidR="00BF5DF4" w:rsidRPr="006442DD">
        <w:rPr>
          <w:rFonts w:ascii="Arial" w:hAnsi="Arial"/>
          <w:noProof/>
        </w:rPr>
        <w:t>anticuerpo que produce un bloqueo del TNF</w:t>
      </w:r>
      <w:r w:rsidR="00FD4556">
        <w:t xml:space="preserve">. </w:t>
      </w:r>
      <w:r w:rsidR="00FD4556" w:rsidRPr="00227ECD">
        <w:rPr>
          <w:rFonts w:ascii="Arial" w:hAnsi="Arial"/>
          <w:noProof/>
        </w:rPr>
        <w:t xml:space="preserve">Actualmente se sabe que </w:t>
      </w:r>
      <w:r w:rsidR="00FD4556">
        <w:rPr>
          <w:rFonts w:ascii="Arial" w:hAnsi="Arial"/>
          <w:noProof/>
        </w:rPr>
        <w:t xml:space="preserve">esta </w:t>
      </w:r>
      <w:r w:rsidR="00FD4556" w:rsidRPr="00227ECD">
        <w:rPr>
          <w:rFonts w:ascii="Arial" w:hAnsi="Arial"/>
          <w:noProof/>
        </w:rPr>
        <w:t xml:space="preserve">sustancia es una de las principales responsables del la inflamación </w:t>
      </w:r>
      <w:r w:rsidR="00FD4556">
        <w:rPr>
          <w:rFonts w:ascii="Arial" w:hAnsi="Arial"/>
          <w:noProof/>
        </w:rPr>
        <w:t xml:space="preserve">y el dolor </w:t>
      </w:r>
      <w:r w:rsidR="00FD4556" w:rsidRPr="00227ECD">
        <w:rPr>
          <w:rFonts w:ascii="Arial" w:hAnsi="Arial"/>
          <w:noProof/>
        </w:rPr>
        <w:t>articular</w:t>
      </w:r>
      <w:r w:rsidR="00FD4556">
        <w:rPr>
          <w:rFonts w:ascii="Arial" w:hAnsi="Arial"/>
          <w:noProof/>
        </w:rPr>
        <w:t xml:space="preserve"> que sufren los pacientes con </w:t>
      </w:r>
      <w:r w:rsidR="00FD4556" w:rsidRPr="006F5730">
        <w:rPr>
          <w:rFonts w:ascii="Arial" w:hAnsi="Arial"/>
          <w:noProof/>
        </w:rPr>
        <w:t>artritis reumat</w:t>
      </w:r>
      <w:r w:rsidR="00FD4556">
        <w:rPr>
          <w:rFonts w:ascii="Arial" w:hAnsi="Arial"/>
          <w:noProof/>
        </w:rPr>
        <w:t>oide, espondilitis anquilosante o</w:t>
      </w:r>
      <w:r w:rsidR="00FD4556" w:rsidRPr="006F5730">
        <w:rPr>
          <w:rFonts w:ascii="Arial" w:hAnsi="Arial"/>
          <w:noProof/>
        </w:rPr>
        <w:t xml:space="preserve"> artritis psoriásica</w:t>
      </w:r>
      <w:r w:rsidR="00FD4556" w:rsidRPr="00227ECD">
        <w:rPr>
          <w:rFonts w:ascii="Arial" w:hAnsi="Arial"/>
          <w:noProof/>
        </w:rPr>
        <w:t>.</w:t>
      </w:r>
      <w:r w:rsidR="00FD4556">
        <w:rPr>
          <w:rFonts w:ascii="Arial" w:hAnsi="Arial"/>
          <w:noProof/>
        </w:rPr>
        <w:t xml:space="preserve"> </w:t>
      </w:r>
      <w:r w:rsidR="00FD4556" w:rsidRPr="006442DD">
        <w:rPr>
          <w:rFonts w:ascii="Arial" w:hAnsi="Arial"/>
          <w:noProof/>
        </w:rPr>
        <w:t>C</w:t>
      </w:r>
      <w:r w:rsidR="00FD4556">
        <w:rPr>
          <w:rFonts w:ascii="Arial" w:hAnsi="Arial"/>
          <w:noProof/>
        </w:rPr>
        <w:t>imzia</w:t>
      </w:r>
      <w:r w:rsidR="00FD4556">
        <w:rPr>
          <w:rFonts w:ascii="Arial" w:hAnsi="Arial" w:cs="Arial"/>
          <w:noProof/>
        </w:rPr>
        <w:t xml:space="preserve">® </w:t>
      </w:r>
      <w:r w:rsidR="00FD4556">
        <w:rPr>
          <w:rFonts w:ascii="Arial" w:hAnsi="Arial"/>
          <w:noProof/>
        </w:rPr>
        <w:t>h</w:t>
      </w:r>
      <w:r w:rsidRPr="006442DD">
        <w:rPr>
          <w:rFonts w:ascii="Arial" w:hAnsi="Arial"/>
          <w:noProof/>
        </w:rPr>
        <w:t xml:space="preserve">a demostrado ser eficaz en el tratamiento de </w:t>
      </w:r>
      <w:r w:rsidR="00D324E0" w:rsidRPr="006442DD">
        <w:rPr>
          <w:rFonts w:ascii="Arial" w:hAnsi="Arial"/>
          <w:noProof/>
        </w:rPr>
        <w:t xml:space="preserve">las personas con su enfermedad </w:t>
      </w:r>
      <w:r w:rsidRPr="006442DD">
        <w:rPr>
          <w:rFonts w:ascii="Arial" w:hAnsi="Arial"/>
          <w:noProof/>
        </w:rPr>
        <w:t>que no responden adecuadamente al tratamiento con otros fármacos.</w:t>
      </w:r>
    </w:p>
    <w:p w:rsidR="00A85C49" w:rsidRPr="006442DD" w:rsidRDefault="00A8365D" w:rsidP="00D07383">
      <w:pPr>
        <w:pStyle w:val="Textosinformato"/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right="111" w:hanging="219"/>
        <w:contextualSpacing/>
        <w:jc w:val="both"/>
        <w:rPr>
          <w:b/>
        </w:rPr>
      </w:pPr>
      <w:r w:rsidRPr="006442DD">
        <w:rPr>
          <w:rFonts w:ascii="Arial" w:hAnsi="Arial"/>
          <w:b/>
        </w:rPr>
        <w:t>Cómo se realiza:</w:t>
      </w:r>
      <w:r w:rsidRPr="006442DD">
        <w:rPr>
          <w:rFonts w:ascii="Arial" w:hAnsi="Arial"/>
        </w:rPr>
        <w:t xml:space="preserve"> </w:t>
      </w:r>
      <w:r w:rsidR="00BF5DF4" w:rsidRPr="006442DD">
        <w:rPr>
          <w:rFonts w:ascii="Arial" w:hAnsi="Arial"/>
          <w:noProof/>
        </w:rPr>
        <w:t xml:space="preserve">El tratamiento se </w:t>
      </w:r>
      <w:r w:rsidRPr="006442DD">
        <w:rPr>
          <w:rFonts w:ascii="Arial" w:hAnsi="Arial"/>
          <w:noProof/>
        </w:rPr>
        <w:t xml:space="preserve">administra por vía </w:t>
      </w:r>
      <w:r w:rsidR="00BF5DF4" w:rsidRPr="006442DD">
        <w:rPr>
          <w:rFonts w:ascii="Arial" w:hAnsi="Arial"/>
          <w:noProof/>
        </w:rPr>
        <w:t>subcutánea</w:t>
      </w:r>
      <w:r w:rsidRPr="006442DD">
        <w:rPr>
          <w:rFonts w:ascii="Arial" w:hAnsi="Arial"/>
          <w:noProof/>
        </w:rPr>
        <w:t>.</w:t>
      </w:r>
      <w:r w:rsidR="00D560F1" w:rsidRPr="006442DD">
        <w:rPr>
          <w:rFonts w:ascii="Arial" w:hAnsi="Arial"/>
          <w:noProof/>
        </w:rPr>
        <w:t xml:space="preserve"> </w:t>
      </w:r>
      <w:r w:rsidR="00331BB8" w:rsidRPr="006442DD">
        <w:rPr>
          <w:rFonts w:ascii="Arial" w:hAnsi="Arial" w:cs="Arial"/>
        </w:rPr>
        <w:t>Se administran 400 mg del fármaco en las semanas 0, 2 y 4, seguido de 200 mg cada dos semanas desde ese momento.</w:t>
      </w:r>
      <w:r w:rsidR="00D07383" w:rsidRPr="00D07383">
        <w:rPr>
          <w:rFonts w:ascii="Arial" w:hAnsi="Arial"/>
          <w:noProof/>
        </w:rPr>
        <w:t xml:space="preserve"> </w:t>
      </w:r>
      <w:r w:rsidR="00D07383">
        <w:rPr>
          <w:rFonts w:ascii="Arial" w:hAnsi="Arial"/>
          <w:noProof/>
        </w:rPr>
        <w:t xml:space="preserve">Esta periodicidad puede ser mofificada por su médico reumatólogo. Su médico o la enfermera del hospital de día le explicará como administrarse el medicamento en casa. En algunos casos puede que necesite acudir a su centro de salud para que le administren el medicamento alli.    </w:t>
      </w:r>
    </w:p>
    <w:p w:rsidR="00A8365D" w:rsidRPr="006442DD" w:rsidRDefault="00A8365D" w:rsidP="00E76FAC">
      <w:pPr>
        <w:pStyle w:val="Textosinformato"/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right="111" w:hanging="219"/>
        <w:jc w:val="both"/>
        <w:rPr>
          <w:rFonts w:ascii="Arial" w:hAnsi="Arial"/>
          <w:noProof/>
        </w:rPr>
      </w:pPr>
      <w:r w:rsidRPr="006442DD">
        <w:rPr>
          <w:rFonts w:ascii="Arial" w:hAnsi="Arial"/>
          <w:b/>
          <w:bCs/>
          <w:noProof/>
        </w:rPr>
        <w:t>Actuaciones previas</w:t>
      </w:r>
      <w:r w:rsidRPr="006442DD">
        <w:rPr>
          <w:rFonts w:ascii="Arial" w:hAnsi="Arial"/>
          <w:noProof/>
        </w:rPr>
        <w:t>:</w:t>
      </w:r>
      <w:r w:rsidR="008C627F" w:rsidRPr="006442DD">
        <w:rPr>
          <w:rFonts w:ascii="Arial" w:hAnsi="Arial"/>
          <w:noProof/>
        </w:rPr>
        <w:t xml:space="preserve"> </w:t>
      </w:r>
      <w:r w:rsidR="00E76FAC">
        <w:rPr>
          <w:rFonts w:ascii="Arial" w:hAnsi="Arial"/>
          <w:noProof/>
        </w:rPr>
        <w:t>Antes de iniciar el tratamiento se le practicará una evaluación que consiste en: historia médica completa, exploración física, analítica de sangre y orina, prueba de la tuberculina, radiograf</w:t>
      </w:r>
      <w:r w:rsidR="004D53EE">
        <w:rPr>
          <w:rFonts w:ascii="Arial" w:hAnsi="Arial"/>
          <w:noProof/>
        </w:rPr>
        <w:t>ia de tórax, electrocardiograma</w:t>
      </w:r>
      <w:r w:rsidRPr="006442DD">
        <w:rPr>
          <w:rFonts w:ascii="Arial" w:hAnsi="Arial"/>
          <w:noProof/>
        </w:rPr>
        <w:t>.</w:t>
      </w:r>
    </w:p>
    <w:p w:rsidR="00FD4556" w:rsidRDefault="00A8365D" w:rsidP="00FD4556">
      <w:pPr>
        <w:pStyle w:val="Textosinformato"/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right="111" w:hanging="219"/>
        <w:jc w:val="both"/>
        <w:rPr>
          <w:rFonts w:ascii="Arial" w:hAnsi="Arial"/>
          <w:b/>
          <w:bCs/>
          <w:noProof/>
        </w:rPr>
      </w:pPr>
      <w:r w:rsidRPr="006442DD">
        <w:rPr>
          <w:rFonts w:ascii="Arial" w:hAnsi="Arial"/>
          <w:b/>
          <w:bCs/>
          <w:noProof/>
        </w:rPr>
        <w:t>Recomendaciones:</w:t>
      </w:r>
    </w:p>
    <w:p w:rsidR="008C627F" w:rsidRPr="006442DD" w:rsidRDefault="00A8365D" w:rsidP="00E76FAC">
      <w:pPr>
        <w:pStyle w:val="Textosinformato"/>
        <w:spacing w:before="60"/>
        <w:ind w:left="426" w:right="111"/>
        <w:jc w:val="both"/>
        <w:rPr>
          <w:rFonts w:ascii="Arial" w:hAnsi="Arial"/>
          <w:b/>
          <w:bCs/>
          <w:noProof/>
        </w:rPr>
      </w:pPr>
      <w:r w:rsidRPr="006442DD">
        <w:rPr>
          <w:rFonts w:ascii="Arial" w:hAnsi="Arial"/>
          <w:noProof/>
        </w:rPr>
        <w:t>Tras iniciar el tratamiento</w:t>
      </w:r>
      <w:r w:rsidR="00D560F1" w:rsidRPr="006442DD">
        <w:rPr>
          <w:rFonts w:ascii="Arial" w:hAnsi="Arial"/>
          <w:noProof/>
        </w:rPr>
        <w:t>,</w:t>
      </w:r>
      <w:r w:rsidRPr="006442DD">
        <w:rPr>
          <w:rFonts w:ascii="Arial" w:hAnsi="Arial"/>
          <w:noProof/>
        </w:rPr>
        <w:t xml:space="preserve"> </w:t>
      </w:r>
      <w:r w:rsidR="00FD4556">
        <w:rPr>
          <w:rFonts w:ascii="Arial" w:hAnsi="Arial"/>
          <w:noProof/>
        </w:rPr>
        <w:t xml:space="preserve">su médico le programará visitas </w:t>
      </w:r>
      <w:r w:rsidR="00E76FAC">
        <w:rPr>
          <w:rFonts w:ascii="Arial" w:hAnsi="Arial"/>
          <w:noProof/>
        </w:rPr>
        <w:t xml:space="preserve">periódicas cada 2-4 meses </w:t>
      </w:r>
      <w:r w:rsidRPr="006442DD">
        <w:rPr>
          <w:rFonts w:ascii="Arial" w:hAnsi="Arial"/>
          <w:noProof/>
        </w:rPr>
        <w:t>hasta finalizar el tratamiento donde se le practicará: revisión de posibles síntomas de su enfermedad, revisión de los fármacos que está tomando y de cualquier molestia que experimente en relación con ellos, exploración física y análisis de sangre y orina.</w:t>
      </w:r>
    </w:p>
    <w:p w:rsidR="00E76FAC" w:rsidRDefault="002432A6" w:rsidP="00E76FAC">
      <w:pPr>
        <w:pStyle w:val="Textosinformato"/>
        <w:spacing w:before="60"/>
        <w:ind w:left="426" w:right="111"/>
        <w:jc w:val="both"/>
        <w:rPr>
          <w:rFonts w:ascii="Arial" w:hAnsi="Arial"/>
          <w:noProof/>
        </w:rPr>
      </w:pPr>
      <w:r w:rsidRPr="006442DD">
        <w:rPr>
          <w:rFonts w:ascii="Arial" w:hAnsi="Arial"/>
          <w:noProof/>
        </w:rPr>
        <w:t>Para prevenir el riesgo de infecciones sería recomendable administrar la vacuna antineumocócica y la de la gripe, así como valorar la vacuna VHB. Se deberán evitar las vacunas con gérmenes vivos o atenuados.</w:t>
      </w:r>
    </w:p>
    <w:p w:rsidR="004D53EE" w:rsidRDefault="004D53EE" w:rsidP="006B60ED">
      <w:pPr>
        <w:pStyle w:val="Textosinformato"/>
        <w:spacing w:before="60"/>
        <w:ind w:left="426"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En mujeres embarazada se ha demostrado</w:t>
      </w:r>
      <w:r w:rsidR="00C94BAB">
        <w:rPr>
          <w:rFonts w:ascii="Arial" w:hAnsi="Arial"/>
          <w:noProof/>
        </w:rPr>
        <w:t xml:space="preserve"> en dos estudios</w:t>
      </w:r>
      <w:r>
        <w:rPr>
          <w:rFonts w:ascii="Arial" w:hAnsi="Arial"/>
          <w:noProof/>
        </w:rPr>
        <w:t xml:space="preserve"> que Cimzia</w:t>
      </w:r>
      <w:r w:rsidR="00632980">
        <w:rPr>
          <w:rFonts w:ascii="Arial" w:hAnsi="Arial" w:cs="Arial"/>
          <w:noProof/>
        </w:rPr>
        <w:t>®</w:t>
      </w:r>
      <w:r>
        <w:rPr>
          <w:rFonts w:ascii="Arial" w:hAnsi="Arial"/>
          <w:noProof/>
        </w:rPr>
        <w:t xml:space="preserve"> tiene un </w:t>
      </w:r>
      <w:r w:rsidR="00632980">
        <w:rPr>
          <w:rFonts w:ascii="Arial" w:hAnsi="Arial"/>
          <w:noProof/>
        </w:rPr>
        <w:t>paso mínimo a través de la placenta y a la leche materna. El uso de Cimzia</w:t>
      </w:r>
      <w:r w:rsidR="00632980">
        <w:rPr>
          <w:rFonts w:ascii="Arial" w:hAnsi="Arial" w:cs="Arial"/>
          <w:noProof/>
        </w:rPr>
        <w:t>®</w:t>
      </w:r>
      <w:r w:rsidR="00632980">
        <w:rPr>
          <w:rFonts w:ascii="Arial" w:hAnsi="Arial"/>
          <w:noProof/>
        </w:rPr>
        <w:t xml:space="preserve"> no se ha relacionado con malformaciones del recien nacido y </w:t>
      </w:r>
      <w:r w:rsidR="006B60ED">
        <w:rPr>
          <w:rFonts w:ascii="Arial" w:hAnsi="Arial"/>
          <w:noProof/>
        </w:rPr>
        <w:t>se puede utilizar durante el embarazo si fuera clínicamente necesario. Cimzia</w:t>
      </w:r>
      <w:r w:rsidR="00BC2A5B">
        <w:rPr>
          <w:rFonts w:ascii="Arial" w:hAnsi="Arial" w:cs="Arial"/>
          <w:noProof/>
        </w:rPr>
        <w:t>®</w:t>
      </w:r>
      <w:r w:rsidR="00BC2A5B">
        <w:rPr>
          <w:rFonts w:ascii="Arial" w:hAnsi="Arial" w:cs="Arial"/>
          <w:noProof/>
        </w:rPr>
        <w:t xml:space="preserve"> </w:t>
      </w:r>
      <w:r w:rsidR="00632980">
        <w:rPr>
          <w:rFonts w:ascii="Arial" w:hAnsi="Arial"/>
          <w:noProof/>
        </w:rPr>
        <w:t>puede util</w:t>
      </w:r>
      <w:r w:rsidR="00BC2A5B">
        <w:rPr>
          <w:rFonts w:ascii="Arial" w:hAnsi="Arial"/>
          <w:noProof/>
        </w:rPr>
        <w:t>i</w:t>
      </w:r>
      <w:r w:rsidR="00632980">
        <w:rPr>
          <w:rFonts w:ascii="Arial" w:hAnsi="Arial"/>
          <w:noProof/>
        </w:rPr>
        <w:t xml:space="preserve">zarse durante la lactancia. </w:t>
      </w:r>
    </w:p>
    <w:p w:rsidR="00E76FAC" w:rsidRDefault="004D53EE" w:rsidP="00E76FAC">
      <w:pPr>
        <w:pStyle w:val="Textosinformato"/>
        <w:spacing w:before="60"/>
        <w:ind w:right="1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352B5" w:rsidRPr="006442DD" w:rsidRDefault="00E352B5" w:rsidP="00E76FAC">
      <w:pPr>
        <w:pStyle w:val="Textosinformato"/>
        <w:numPr>
          <w:ilvl w:val="0"/>
          <w:numId w:val="12"/>
        </w:numPr>
        <w:tabs>
          <w:tab w:val="clear" w:pos="360"/>
          <w:tab w:val="num" w:pos="426"/>
        </w:tabs>
        <w:spacing w:before="60"/>
        <w:ind w:left="426" w:right="111" w:hanging="142"/>
        <w:jc w:val="both"/>
        <w:rPr>
          <w:rFonts w:ascii="Arial" w:hAnsi="Arial"/>
          <w:noProof/>
        </w:rPr>
      </w:pPr>
      <w:r w:rsidRPr="006442DD">
        <w:rPr>
          <w:rFonts w:ascii="Arial" w:hAnsi="Arial" w:cs="Arial"/>
          <w:b/>
        </w:rPr>
        <w:t>Cuánto dura:</w:t>
      </w:r>
      <w:r w:rsidRPr="006442DD">
        <w:rPr>
          <w:rFonts w:ascii="Arial" w:hAnsi="Arial" w:cs="Arial"/>
        </w:rPr>
        <w:t xml:space="preserve"> El tratamiento es continuado mientras mantenga su eficacia y </w:t>
      </w:r>
      <w:r w:rsidR="00E76FAC">
        <w:rPr>
          <w:rFonts w:ascii="Arial" w:hAnsi="Arial" w:cs="Arial"/>
        </w:rPr>
        <w:t xml:space="preserve">no se detecten efectos adversos a la </w:t>
      </w:r>
      <w:r w:rsidR="00BC2A5B">
        <w:rPr>
          <w:rFonts w:ascii="Arial" w:hAnsi="Arial" w:cs="Arial"/>
        </w:rPr>
        <w:t>medicación</w:t>
      </w:r>
      <w:bookmarkStart w:id="0" w:name="_GoBack"/>
      <w:bookmarkEnd w:id="0"/>
      <w:r w:rsidRPr="006442DD">
        <w:rPr>
          <w:rFonts w:ascii="Arial" w:hAnsi="Arial"/>
        </w:rPr>
        <w:t>.</w:t>
      </w:r>
    </w:p>
    <w:p w:rsidR="0090547E" w:rsidRPr="006442DD" w:rsidRDefault="0090547E" w:rsidP="008C627F">
      <w:pPr>
        <w:pStyle w:val="Textosinformato"/>
        <w:spacing w:before="60"/>
        <w:ind w:left="720" w:right="111"/>
        <w:jc w:val="both"/>
        <w:rPr>
          <w:rFonts w:ascii="Arial" w:hAnsi="Arial"/>
          <w:b/>
          <w:bCs/>
          <w:noProof/>
        </w:rPr>
      </w:pPr>
    </w:p>
    <w:p w:rsidR="00A8365D" w:rsidRPr="006442DD" w:rsidRDefault="00A8365D">
      <w:pPr>
        <w:pStyle w:val="Ttulo2"/>
        <w:spacing w:before="180"/>
      </w:pPr>
      <w:r w:rsidRPr="006442DD">
        <w:t>¿Qué riesgos tiene?</w:t>
      </w:r>
    </w:p>
    <w:p w:rsidR="00A8365D" w:rsidRPr="006442DD" w:rsidRDefault="00BC4E1D" w:rsidP="00AE4FAB">
      <w:pPr>
        <w:pStyle w:val="Ttulo3"/>
        <w:numPr>
          <w:ilvl w:val="0"/>
          <w:numId w:val="8"/>
        </w:numPr>
        <w:tabs>
          <w:tab w:val="clear" w:pos="227"/>
          <w:tab w:val="left" w:pos="284"/>
        </w:tabs>
        <w:rPr>
          <w:b/>
        </w:rPr>
      </w:pPr>
      <w:r w:rsidRPr="006442DD">
        <w:rPr>
          <w:b/>
        </w:rPr>
        <w:t>Riesgos generales</w:t>
      </w:r>
      <w:r w:rsidRPr="006442DD">
        <w:rPr>
          <w:rFonts w:cs="Arial"/>
        </w:rPr>
        <w:t>:</w:t>
      </w:r>
    </w:p>
    <w:p w:rsidR="00AE4FAB" w:rsidRPr="006442DD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6442DD">
        <w:rPr>
          <w:rFonts w:ascii="Arial" w:hAnsi="Arial"/>
          <w:noProof/>
        </w:rPr>
        <w:t xml:space="preserve">Después de </w:t>
      </w:r>
      <w:r w:rsidR="00331BB8" w:rsidRPr="006442DD">
        <w:rPr>
          <w:rFonts w:ascii="Arial" w:hAnsi="Arial"/>
          <w:noProof/>
        </w:rPr>
        <w:t>administrar este fármaco</w:t>
      </w:r>
      <w:r w:rsidRPr="006442DD">
        <w:rPr>
          <w:rFonts w:ascii="Arial" w:hAnsi="Arial"/>
          <w:noProof/>
        </w:rPr>
        <w:t xml:space="preserve"> puede</w:t>
      </w:r>
      <w:r w:rsidR="00D560F1" w:rsidRPr="006442DD">
        <w:rPr>
          <w:rFonts w:ascii="Arial" w:hAnsi="Arial"/>
          <w:noProof/>
        </w:rPr>
        <w:t>n</w:t>
      </w:r>
      <w:r w:rsidRPr="006442DD">
        <w:rPr>
          <w:rFonts w:ascii="Arial" w:hAnsi="Arial"/>
          <w:noProof/>
        </w:rPr>
        <w:t xml:space="preserve"> </w:t>
      </w:r>
      <w:r w:rsidR="00331BB8" w:rsidRPr="006442DD">
        <w:rPr>
          <w:rFonts w:ascii="Arial" w:hAnsi="Arial"/>
          <w:noProof/>
        </w:rPr>
        <w:t>a</w:t>
      </w:r>
      <w:r w:rsidRPr="006442DD">
        <w:rPr>
          <w:rFonts w:ascii="Arial" w:hAnsi="Arial"/>
          <w:noProof/>
        </w:rPr>
        <w:t>p</w:t>
      </w:r>
      <w:r w:rsidR="00331BB8" w:rsidRPr="006442DD">
        <w:rPr>
          <w:rFonts w:ascii="Arial" w:hAnsi="Arial"/>
          <w:noProof/>
        </w:rPr>
        <w:t>arecer</w:t>
      </w:r>
      <w:r w:rsidR="00BC13BC" w:rsidRPr="006442DD">
        <w:rPr>
          <w:rFonts w:ascii="Arial" w:hAnsi="Arial"/>
          <w:noProof/>
        </w:rPr>
        <w:t xml:space="preserve"> </w:t>
      </w:r>
      <w:r w:rsidRPr="006442DD">
        <w:rPr>
          <w:rFonts w:ascii="Arial" w:hAnsi="Arial"/>
          <w:noProof/>
        </w:rPr>
        <w:t>reacciones</w:t>
      </w:r>
      <w:r w:rsidR="00BC13BC" w:rsidRPr="006442DD">
        <w:rPr>
          <w:rFonts w:ascii="Arial" w:hAnsi="Arial"/>
          <w:noProof/>
        </w:rPr>
        <w:t xml:space="preserve"> adversas</w:t>
      </w:r>
      <w:r w:rsidR="00D560F1" w:rsidRPr="006442DD">
        <w:rPr>
          <w:rFonts w:ascii="Arial" w:hAnsi="Arial"/>
          <w:noProof/>
        </w:rPr>
        <w:t xml:space="preserve"> como: dolor de cabeza,</w:t>
      </w:r>
      <w:r w:rsidRPr="006442DD">
        <w:rPr>
          <w:rFonts w:ascii="Arial" w:hAnsi="Arial"/>
          <w:noProof/>
        </w:rPr>
        <w:t xml:space="preserve"> naúseas, hipertensión</w:t>
      </w:r>
      <w:r w:rsidR="0090547E" w:rsidRPr="006442DD">
        <w:rPr>
          <w:rFonts w:ascii="Arial" w:hAnsi="Arial"/>
          <w:noProof/>
        </w:rPr>
        <w:t>.</w:t>
      </w:r>
    </w:p>
    <w:p w:rsidR="00AE4FAB" w:rsidRPr="006442DD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6442DD">
        <w:rPr>
          <w:rFonts w:ascii="Arial" w:hAnsi="Arial"/>
          <w:noProof/>
        </w:rPr>
        <w:t>Puede sufrir infecciones con más facilidad</w:t>
      </w:r>
      <w:r w:rsidR="00D560F1" w:rsidRPr="006442DD">
        <w:rPr>
          <w:rFonts w:ascii="Arial" w:hAnsi="Arial"/>
          <w:noProof/>
        </w:rPr>
        <w:t>,</w:t>
      </w:r>
      <w:r w:rsidRPr="006442DD">
        <w:rPr>
          <w:rFonts w:ascii="Arial" w:hAnsi="Arial"/>
          <w:noProof/>
        </w:rPr>
        <w:t xml:space="preserve"> por lo que debemos hacer un estudio previo de cualquier infeccion presente o residual de tuberculos</w:t>
      </w:r>
      <w:r w:rsidR="00D560F1" w:rsidRPr="006442DD">
        <w:rPr>
          <w:rFonts w:ascii="Arial" w:hAnsi="Arial"/>
          <w:noProof/>
        </w:rPr>
        <w:t>is,</w:t>
      </w:r>
      <w:r w:rsidR="00BC13BC" w:rsidRPr="006442DD">
        <w:rPr>
          <w:rFonts w:ascii="Arial" w:hAnsi="Arial"/>
          <w:noProof/>
        </w:rPr>
        <w:t xml:space="preserve"> hepatitis B</w:t>
      </w:r>
      <w:r w:rsidR="00D560F1" w:rsidRPr="006442DD">
        <w:rPr>
          <w:rFonts w:ascii="Arial" w:hAnsi="Arial"/>
          <w:noProof/>
        </w:rPr>
        <w:t xml:space="preserve"> y C</w:t>
      </w:r>
      <w:r w:rsidR="00BC13BC" w:rsidRPr="006442DD">
        <w:rPr>
          <w:rFonts w:ascii="Arial" w:hAnsi="Arial"/>
          <w:noProof/>
        </w:rPr>
        <w:t>.</w:t>
      </w:r>
    </w:p>
    <w:p w:rsidR="00AE4FAB" w:rsidRPr="006442DD" w:rsidRDefault="00A8365D" w:rsidP="0090547E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6442DD">
        <w:rPr>
          <w:rFonts w:ascii="Arial" w:hAnsi="Arial"/>
          <w:noProof/>
        </w:rPr>
        <w:t>Durante el tratam</w:t>
      </w:r>
      <w:r w:rsidR="00BC13BC" w:rsidRPr="006442DD">
        <w:rPr>
          <w:rFonts w:ascii="Arial" w:hAnsi="Arial"/>
          <w:noProof/>
        </w:rPr>
        <w:t>i</w:t>
      </w:r>
      <w:r w:rsidRPr="006442DD">
        <w:rPr>
          <w:rFonts w:ascii="Arial" w:hAnsi="Arial"/>
          <w:noProof/>
        </w:rPr>
        <w:t>ento pueden ap</w:t>
      </w:r>
      <w:r w:rsidR="00D324E0" w:rsidRPr="006442DD">
        <w:rPr>
          <w:rFonts w:ascii="Arial" w:hAnsi="Arial"/>
          <w:noProof/>
        </w:rPr>
        <w:t>a</w:t>
      </w:r>
      <w:r w:rsidRPr="006442DD">
        <w:rPr>
          <w:rFonts w:ascii="Arial" w:hAnsi="Arial"/>
          <w:noProof/>
        </w:rPr>
        <w:t xml:space="preserve">recer infecciones como faringitis, bronquitis, infecciones urinarias, </w:t>
      </w:r>
      <w:r w:rsidR="00D560F1" w:rsidRPr="006442DD">
        <w:rPr>
          <w:rFonts w:ascii="Arial" w:hAnsi="Arial"/>
          <w:noProof/>
        </w:rPr>
        <w:t>d</w:t>
      </w:r>
      <w:r w:rsidRPr="006442DD">
        <w:rPr>
          <w:rFonts w:ascii="Arial" w:hAnsi="Arial"/>
          <w:noProof/>
        </w:rPr>
        <w:t>iarreas.</w:t>
      </w:r>
    </w:p>
    <w:p w:rsidR="00AE4FAB" w:rsidRPr="00A62C96" w:rsidRDefault="00A62C96" w:rsidP="00A62C96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Aunque</w:t>
      </w:r>
      <w:r w:rsidR="00A8365D" w:rsidRPr="00A62C96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 xml:space="preserve">los datos más actuales sobre </w:t>
      </w:r>
      <w:r w:rsidR="00E76FAC" w:rsidRPr="00A62C96">
        <w:rPr>
          <w:rFonts w:ascii="Arial" w:hAnsi="Arial"/>
          <w:noProof/>
        </w:rPr>
        <w:t>Cimzia</w:t>
      </w:r>
      <w:r w:rsidR="00E76FAC" w:rsidRPr="00A62C96">
        <w:rPr>
          <w:rFonts w:ascii="Arial" w:hAnsi="Arial" w:cs="Arial"/>
          <w:noProof/>
        </w:rPr>
        <w:t xml:space="preserve">® </w:t>
      </w:r>
      <w:r>
        <w:rPr>
          <w:rFonts w:ascii="Arial" w:hAnsi="Arial" w:cs="Arial"/>
          <w:noProof/>
        </w:rPr>
        <w:t xml:space="preserve">durante el embarazo han mostrado que es un fármaco seguro, </w:t>
      </w:r>
      <w:r w:rsidR="00A8365D" w:rsidRPr="00A62C96">
        <w:rPr>
          <w:rFonts w:ascii="Arial" w:hAnsi="Arial"/>
          <w:noProof/>
        </w:rPr>
        <w:t>si es usted una mujer en edad de tener niños,</w:t>
      </w:r>
      <w:r>
        <w:rPr>
          <w:rFonts w:ascii="Arial" w:hAnsi="Arial"/>
          <w:noProof/>
        </w:rPr>
        <w:t xml:space="preserve"> y desea tenerlos, debe de consultar con su reumatólogo para </w:t>
      </w:r>
      <w:r w:rsidR="001B6565">
        <w:rPr>
          <w:rFonts w:ascii="Arial" w:hAnsi="Arial"/>
          <w:noProof/>
        </w:rPr>
        <w:t>valorar</w:t>
      </w:r>
      <w:r>
        <w:rPr>
          <w:rFonts w:ascii="Arial" w:hAnsi="Arial"/>
          <w:noProof/>
        </w:rPr>
        <w:t xml:space="preserve"> su conveniencia según el estado de su enfermedad y el tratamiento</w:t>
      </w:r>
      <w:r w:rsidR="00F00830">
        <w:rPr>
          <w:rFonts w:ascii="Arial" w:hAnsi="Arial"/>
          <w:noProof/>
        </w:rPr>
        <w:t xml:space="preserve"> que necesita.</w:t>
      </w:r>
      <w:r>
        <w:rPr>
          <w:rFonts w:ascii="Arial" w:hAnsi="Arial"/>
          <w:noProof/>
        </w:rPr>
        <w:t xml:space="preserve"> </w:t>
      </w:r>
    </w:p>
    <w:p w:rsidR="00A8365D" w:rsidRPr="006442DD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6442DD">
        <w:rPr>
          <w:rFonts w:ascii="Arial" w:hAnsi="Arial"/>
          <w:noProof/>
        </w:rPr>
        <w:t>El paciente debe ponerse en contacto con su re</w:t>
      </w:r>
      <w:r w:rsidR="00D560F1" w:rsidRPr="006442DD">
        <w:rPr>
          <w:rFonts w:ascii="Arial" w:hAnsi="Arial"/>
          <w:noProof/>
        </w:rPr>
        <w:t xml:space="preserve">umatólogo o un servicio médico </w:t>
      </w:r>
      <w:r w:rsidRPr="006442DD">
        <w:rPr>
          <w:rFonts w:ascii="Arial" w:hAnsi="Arial"/>
          <w:noProof/>
        </w:rPr>
        <w:t>en caso de presentar algún efecto secundario grave o signo de infección (fiebre, malestar general</w:t>
      </w:r>
      <w:r w:rsidR="00D560F1" w:rsidRPr="006442DD">
        <w:rPr>
          <w:rFonts w:ascii="Arial" w:hAnsi="Arial"/>
          <w:noProof/>
        </w:rPr>
        <w:t>,</w:t>
      </w:r>
      <w:r w:rsidRPr="006442DD">
        <w:rPr>
          <w:rFonts w:ascii="Arial" w:hAnsi="Arial"/>
          <w:noProof/>
        </w:rPr>
        <w:t xml:space="preserve"> etc)</w:t>
      </w:r>
      <w:r w:rsidR="00AE4FAB" w:rsidRPr="006442DD">
        <w:rPr>
          <w:rFonts w:ascii="Arial" w:hAnsi="Arial"/>
          <w:noProof/>
        </w:rPr>
        <w:t>.</w:t>
      </w:r>
    </w:p>
    <w:p w:rsidR="00AE4FAB" w:rsidRPr="006442DD" w:rsidRDefault="00A8365D" w:rsidP="00AE4FAB">
      <w:pPr>
        <w:pStyle w:val="Ttulo3"/>
        <w:numPr>
          <w:ilvl w:val="0"/>
          <w:numId w:val="8"/>
        </w:numPr>
        <w:spacing w:before="120"/>
        <w:ind w:right="227"/>
      </w:pPr>
      <w:r w:rsidRPr="006442DD">
        <w:rPr>
          <w:b/>
        </w:rPr>
        <w:lastRenderedPageBreak/>
        <w:t>Riesgos personalizados o profesionales:</w:t>
      </w:r>
    </w:p>
    <w:p w:rsidR="00A8365D" w:rsidRPr="006442DD" w:rsidRDefault="00A8365D" w:rsidP="00AE4FAB">
      <w:pPr>
        <w:pStyle w:val="Ttulo3"/>
        <w:spacing w:before="120"/>
        <w:ind w:left="720" w:right="227" w:firstLine="0"/>
      </w:pPr>
      <w:r w:rsidRPr="006442DD">
        <w:t>Además de los riesgos anteriormente citados por la/s enfermedad/es que padece puede</w:t>
      </w:r>
      <w:r w:rsidR="00D560F1" w:rsidRPr="006442DD">
        <w:t xml:space="preserve"> presentar otras complicaciones</w:t>
      </w:r>
      <w:r w:rsidR="00026F2A" w:rsidRPr="006442DD">
        <w:t>………………………………………………………………………………………………………………………………</w:t>
      </w:r>
      <w:r w:rsidRPr="006442DD">
        <w:t>.........................................................................................................................................</w:t>
      </w:r>
      <w:r w:rsidR="00AE4FAB" w:rsidRPr="006442DD">
        <w:t>..........</w:t>
      </w:r>
    </w:p>
    <w:p w:rsidR="00A8365D" w:rsidRPr="006442DD" w:rsidRDefault="00A8365D" w:rsidP="00AE4FAB">
      <w:pPr>
        <w:pStyle w:val="Ttulo3"/>
        <w:numPr>
          <w:ilvl w:val="0"/>
          <w:numId w:val="8"/>
        </w:numPr>
        <w:spacing w:before="120"/>
        <w:ind w:right="227"/>
      </w:pPr>
      <w:r w:rsidRPr="006442DD">
        <w:rPr>
          <w:b/>
        </w:rPr>
        <w:t>Beneficios de la actuación a corto y medio plazo:</w:t>
      </w:r>
    </w:p>
    <w:p w:rsidR="00C7313E" w:rsidRPr="006442DD" w:rsidRDefault="00A8365D" w:rsidP="00E76FAC">
      <w:pPr>
        <w:pStyle w:val="Textosinformato"/>
        <w:ind w:left="708" w:right="111"/>
        <w:jc w:val="both"/>
        <w:rPr>
          <w:rFonts w:ascii="Arial" w:hAnsi="Arial"/>
          <w:noProof/>
        </w:rPr>
      </w:pPr>
      <w:r w:rsidRPr="006442DD">
        <w:rPr>
          <w:rFonts w:ascii="Arial" w:hAnsi="Arial"/>
          <w:noProof/>
        </w:rPr>
        <w:t xml:space="preserve">Disminuye los síntomas principales </w:t>
      </w:r>
      <w:r w:rsidR="00026F2A" w:rsidRPr="006442DD">
        <w:rPr>
          <w:rFonts w:ascii="Arial" w:hAnsi="Arial"/>
          <w:noProof/>
        </w:rPr>
        <w:t xml:space="preserve">de la enfermedad, </w:t>
      </w:r>
      <w:r w:rsidRPr="006442DD">
        <w:rPr>
          <w:rFonts w:ascii="Arial" w:hAnsi="Arial"/>
          <w:noProof/>
        </w:rPr>
        <w:t xml:space="preserve">como son el dolor y la inflamación y retrasa el daño </w:t>
      </w:r>
      <w:r w:rsidR="00E76FAC">
        <w:rPr>
          <w:rFonts w:ascii="Arial" w:hAnsi="Arial"/>
          <w:noProof/>
        </w:rPr>
        <w:t xml:space="preserve">que la enfermedad produce en las </w:t>
      </w:r>
      <w:r w:rsidRPr="006442DD">
        <w:rPr>
          <w:rFonts w:ascii="Arial" w:hAnsi="Arial"/>
          <w:noProof/>
        </w:rPr>
        <w:t xml:space="preserve">articulaciones. </w:t>
      </w:r>
    </w:p>
    <w:p w:rsidR="00E76FAC" w:rsidRDefault="00E76FAC" w:rsidP="00E76FAC">
      <w:pPr>
        <w:autoSpaceDE w:val="0"/>
        <w:autoSpaceDN w:val="0"/>
        <w:adjustRightInd w:val="0"/>
        <w:jc w:val="both"/>
        <w:rPr>
          <w:rFonts w:ascii="Arial" w:hAnsi="Arial"/>
          <w:noProof/>
        </w:rPr>
      </w:pPr>
    </w:p>
    <w:p w:rsidR="00E76FAC" w:rsidRDefault="00E76FAC" w:rsidP="00E76FAC">
      <w:pPr>
        <w:pStyle w:val="Ttulo2"/>
        <w:spacing w:after="120"/>
        <w:ind w:firstLine="709"/>
        <w:jc w:val="left"/>
      </w:pPr>
      <w:r>
        <w:t xml:space="preserve">                                                           ¿Qué otras alternativas hay?</w:t>
      </w:r>
    </w:p>
    <w:p w:rsidR="00E76FAC" w:rsidRDefault="00E76FAC" w:rsidP="0003461D">
      <w:pPr>
        <w:ind w:left="709"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Su enfermedad puede tratarse con otros fármacos biológicos que actuan de forma parecida al </w:t>
      </w:r>
      <w:r w:rsidR="0003461D">
        <w:rPr>
          <w:rFonts w:ascii="Arial" w:hAnsi="Arial"/>
          <w:noProof/>
        </w:rPr>
        <w:t>Cimzia</w:t>
      </w:r>
      <w:r>
        <w:rPr>
          <w:rFonts w:ascii="Arial" w:hAnsi="Arial" w:cs="Arial"/>
        </w:rPr>
        <w:t>®</w:t>
      </w:r>
      <w:r>
        <w:rPr>
          <w:rFonts w:ascii="Arial" w:hAnsi="Arial"/>
          <w:noProof/>
        </w:rPr>
        <w:t xml:space="preserve"> o con </w:t>
      </w:r>
      <w:r w:rsidR="0003461D">
        <w:rPr>
          <w:rFonts w:ascii="Arial" w:hAnsi="Arial"/>
          <w:noProof/>
        </w:rPr>
        <w:t xml:space="preserve">otros </w:t>
      </w:r>
      <w:r>
        <w:rPr>
          <w:rFonts w:ascii="Arial" w:hAnsi="Arial"/>
          <w:noProof/>
        </w:rPr>
        <w:t>tratamientos modificadores de la enfermedad existentes. Se ofrece este tratamiento por pensar que es el más idoneo en este momento de su enfermedad.</w:t>
      </w:r>
    </w:p>
    <w:p w:rsidR="00E76FAC" w:rsidRDefault="00E76FAC" w:rsidP="00E76FAC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:rsidR="00E76FAC" w:rsidRDefault="00E76FAC" w:rsidP="00E76FAC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Conviene que lea el prospecto del producto y pregunte cualquier duda que tenga al respecto.</w:t>
      </w:r>
    </w:p>
    <w:p w:rsidR="00FD447D" w:rsidRDefault="00FD447D" w:rsidP="005873BB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p w:rsidR="008B251A" w:rsidRDefault="008B251A" w:rsidP="00034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 w:rsidRPr="00261D54">
        <w:rPr>
          <w:rFonts w:ascii="Arial" w:hAnsi="Arial" w:cs="Arial"/>
          <w:color w:val="365F91"/>
        </w:rPr>
        <w:t>Este</w:t>
      </w:r>
      <w:r w:rsidR="0003461D" w:rsidRPr="00261D54">
        <w:rPr>
          <w:rFonts w:ascii="Arial" w:hAnsi="Arial" w:cs="Arial"/>
          <w:color w:val="365F91"/>
        </w:rPr>
        <w:t xml:space="preserve"> </w:t>
      </w:r>
      <w:r>
        <w:rPr>
          <w:rFonts w:ascii="Arial" w:hAnsi="Arial" w:cs="Arial"/>
          <w:color w:val="365F91"/>
        </w:rPr>
        <w:t xml:space="preserve">documento </w:t>
      </w:r>
      <w:r w:rsidR="00684BC8">
        <w:rPr>
          <w:rFonts w:ascii="Arial" w:hAnsi="Arial" w:cs="Arial"/>
          <w:color w:val="365F91"/>
        </w:rPr>
        <w:t>ha sido preparado</w:t>
      </w:r>
      <w:r w:rsidR="0003461D" w:rsidRPr="00261D54">
        <w:rPr>
          <w:rFonts w:ascii="Arial" w:hAnsi="Arial" w:cs="Arial"/>
          <w:color w:val="365F91"/>
        </w:rPr>
        <w:t xml:space="preserve"> por la SER para facilitar la comprensión del público. No se trata de una interpretación oficial d</w:t>
      </w:r>
      <w:r>
        <w:rPr>
          <w:rFonts w:ascii="Arial" w:hAnsi="Arial" w:cs="Arial"/>
          <w:color w:val="365F91"/>
        </w:rPr>
        <w:t xml:space="preserve">e las Recomendaciones de la SER, </w:t>
      </w:r>
      <w:r w:rsidR="0003461D" w:rsidRPr="00261D54">
        <w:rPr>
          <w:rFonts w:ascii="Arial" w:hAnsi="Arial" w:cs="Arial"/>
          <w:color w:val="365F91"/>
        </w:rPr>
        <w:t>ni de las posiciones de sus asociados.</w:t>
      </w:r>
      <w:r w:rsidR="0003461D">
        <w:rPr>
          <w:rFonts w:ascii="Arial" w:hAnsi="Arial" w:cs="Arial"/>
          <w:color w:val="365F91"/>
        </w:rPr>
        <w:t xml:space="preserve"> </w:t>
      </w:r>
      <w:r w:rsidR="0003461D" w:rsidRPr="00261D54">
        <w:rPr>
          <w:rFonts w:ascii="Arial" w:hAnsi="Arial" w:cs="Arial"/>
          <w:color w:val="365F91"/>
        </w:rPr>
        <w:t xml:space="preserve">Hemos brindado la información más actualizada disponible al momento de la impresión. </w:t>
      </w:r>
    </w:p>
    <w:p w:rsidR="0003461D" w:rsidRPr="00261D54" w:rsidRDefault="0003461D" w:rsidP="008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 w:rsidRPr="00261D54">
        <w:rPr>
          <w:rFonts w:ascii="Arial" w:hAnsi="Arial" w:cs="Arial"/>
          <w:color w:val="365F91"/>
        </w:rPr>
        <w:t xml:space="preserve">Es posible que desde entonces haya surgido más información sobre </w:t>
      </w:r>
      <w:r>
        <w:rPr>
          <w:rFonts w:ascii="Arial" w:hAnsi="Arial" w:cs="Arial"/>
          <w:color w:val="365F91"/>
        </w:rPr>
        <w:t>este medicamento</w:t>
      </w:r>
      <w:r w:rsidRPr="00261D54">
        <w:rPr>
          <w:rFonts w:ascii="Arial" w:hAnsi="Arial" w:cs="Arial"/>
          <w:color w:val="365F91"/>
        </w:rPr>
        <w:t>.</w:t>
      </w:r>
      <w:r w:rsidR="008B251A">
        <w:rPr>
          <w:rFonts w:ascii="Arial" w:hAnsi="Arial" w:cs="Arial"/>
          <w:color w:val="365F91"/>
        </w:rPr>
        <w:t xml:space="preserve"> </w:t>
      </w:r>
      <w:r w:rsidRPr="00261D54">
        <w:rPr>
          <w:rFonts w:ascii="Arial" w:hAnsi="Arial" w:cs="Arial"/>
          <w:color w:val="365F91"/>
        </w:rPr>
        <w:t xml:space="preserve">Para obtener la información más actualizada o para </w:t>
      </w:r>
      <w:r>
        <w:rPr>
          <w:rFonts w:ascii="Arial" w:hAnsi="Arial" w:cs="Arial"/>
          <w:color w:val="365F91"/>
        </w:rPr>
        <w:t>clarificar dudas</w:t>
      </w:r>
      <w:r w:rsidRPr="00261D54">
        <w:rPr>
          <w:rFonts w:ascii="Arial" w:hAnsi="Arial" w:cs="Arial"/>
          <w:color w:val="365F91"/>
        </w:rPr>
        <w:t xml:space="preserve"> sobre cualquiera de los medicamentos que está tomando, recomendamos consultar con su médico.</w:t>
      </w:r>
    </w:p>
    <w:p w:rsidR="0003461D" w:rsidRDefault="0003461D" w:rsidP="0003461D">
      <w:pPr>
        <w:jc w:val="center"/>
        <w:rPr>
          <w:b/>
          <w:szCs w:val="18"/>
        </w:rPr>
      </w:pPr>
    </w:p>
    <w:p w:rsidR="0003461D" w:rsidRPr="00252AFA" w:rsidRDefault="0003461D" w:rsidP="0003461D">
      <w:pPr>
        <w:jc w:val="center"/>
        <w:rPr>
          <w:rFonts w:ascii="Arial" w:hAnsi="Arial" w:cs="Arial"/>
          <w:b/>
          <w:szCs w:val="18"/>
        </w:rPr>
      </w:pPr>
      <w:r w:rsidRPr="00252AFA">
        <w:rPr>
          <w:rFonts w:ascii="Arial" w:hAnsi="Arial" w:cs="Arial"/>
          <w:b/>
          <w:szCs w:val="18"/>
        </w:rPr>
        <w:t>Declaraciones y Firmas</w:t>
      </w:r>
    </w:p>
    <w:p w:rsidR="0003461D" w:rsidRPr="00252AFA" w:rsidRDefault="002929B3" w:rsidP="0003461D">
      <w:pPr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93345</wp:posOffset>
                </wp:positionV>
                <wp:extent cx="6057900" cy="3543300"/>
                <wp:effectExtent l="12700" t="12700" r="0" b="0"/>
                <wp:wrapNone/>
                <wp:docPr id="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23A6" id="Rectangle 5" o:spid="_x0000_s1026" style="position:absolute;margin-left:35.35pt;margin-top:7.35pt;width:477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" filled="f" strokeweight="2pt">
                <v:path arrowok="t"/>
              </v:rect>
            </w:pict>
          </mc:Fallback>
        </mc:AlternateContent>
      </w: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Su médico ha considerado que </w:t>
      </w:r>
      <w:r>
        <w:rPr>
          <w:rFonts w:ascii="Arial" w:hAnsi="Arial" w:cs="Arial"/>
          <w:sz w:val="18"/>
          <w:szCs w:val="18"/>
        </w:rPr>
        <w:t>Cimzia</w:t>
      </w:r>
      <w:r w:rsidRPr="00663220">
        <w:rPr>
          <w:rFonts w:ascii="Arial" w:hAnsi="Arial" w:cs="Arial"/>
          <w:sz w:val="18"/>
          <w:szCs w:val="18"/>
        </w:rPr>
        <w:t>®</w:t>
      </w:r>
      <w:r w:rsidRPr="00252AFA">
        <w:rPr>
          <w:rFonts w:ascii="Arial" w:hAnsi="Arial" w:cs="Arial"/>
          <w:sz w:val="18"/>
          <w:szCs w:val="18"/>
        </w:rPr>
        <w:t xml:space="preserve"> es el tratamiento más adecuado e idóneo en este momento</w:t>
      </w:r>
      <w:r>
        <w:rPr>
          <w:rFonts w:ascii="Arial" w:hAnsi="Arial" w:cs="Arial"/>
          <w:sz w:val="18"/>
          <w:szCs w:val="18"/>
        </w:rPr>
        <w:t xml:space="preserve"> para su enfermedad. </w:t>
      </w: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He comprendido perfectamente el objetivo y las explicaciones del tratamiento con </w:t>
      </w:r>
      <w:r>
        <w:rPr>
          <w:rFonts w:ascii="Arial" w:hAnsi="Arial" w:cs="Arial"/>
          <w:sz w:val="18"/>
          <w:szCs w:val="18"/>
        </w:rPr>
        <w:t>Cimzia</w:t>
      </w:r>
      <w:r w:rsidRPr="00663220">
        <w:rPr>
          <w:rFonts w:ascii="Arial" w:hAnsi="Arial" w:cs="Arial"/>
          <w:sz w:val="18"/>
          <w:szCs w:val="18"/>
        </w:rPr>
        <w:t>®</w:t>
      </w:r>
      <w:r w:rsidRPr="00252AFA">
        <w:rPr>
          <w:rFonts w:ascii="Arial" w:hAnsi="Arial" w:cs="Arial"/>
          <w:sz w:val="18"/>
          <w:szCs w:val="18"/>
        </w:rPr>
        <w:t xml:space="preserve"> y he sido informado por el Dr. _____________________________________________________. He leído y comprendido la Hoja de Información al Paciente, y he sido informado sobre los beneficios y posibles efectos adversos. También he comprendido que puede haber otros riesgos que aún no se conocen.</w:t>
      </w:r>
    </w:p>
    <w:p w:rsidR="008B251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>He tenido la oportunidad de realizar preguntas y de considerar las respuestas dadas. He comprendido que mi aceptación a ser tratado con</w:t>
      </w:r>
      <w:r>
        <w:rPr>
          <w:rFonts w:ascii="Arial" w:hAnsi="Arial" w:cs="Arial"/>
          <w:sz w:val="18"/>
          <w:szCs w:val="18"/>
        </w:rPr>
        <w:t xml:space="preserve"> Cimzia</w:t>
      </w:r>
      <w:r w:rsidRPr="00663220">
        <w:rPr>
          <w:rFonts w:ascii="Arial" w:hAnsi="Arial" w:cs="Arial"/>
          <w:sz w:val="18"/>
          <w:szCs w:val="18"/>
        </w:rPr>
        <w:t>®</w:t>
      </w:r>
      <w:r w:rsidRPr="00252AFA">
        <w:rPr>
          <w:rFonts w:ascii="Arial" w:hAnsi="Arial" w:cs="Arial"/>
          <w:sz w:val="18"/>
          <w:szCs w:val="18"/>
        </w:rPr>
        <w:t xml:space="preserve"> es voluntaria y que podré discontinuar el tratamiento cuando lo considere adecuado, y que si lo hago, mi futura atención médica que recibiré no se verá afectada.</w:t>
      </w:r>
      <w:r>
        <w:rPr>
          <w:rFonts w:ascii="Arial" w:hAnsi="Arial" w:cs="Arial"/>
          <w:sz w:val="18"/>
          <w:szCs w:val="18"/>
        </w:rPr>
        <w:t xml:space="preserve"> </w:t>
      </w:r>
    </w:p>
    <w:p w:rsidR="008B251A" w:rsidRDefault="008B251A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252AFA">
        <w:rPr>
          <w:rFonts w:ascii="Arial" w:hAnsi="Arial" w:cs="Arial"/>
          <w:sz w:val="18"/>
          <w:szCs w:val="18"/>
        </w:rPr>
        <w:t>stoy de acuerdo en que el material gráfico, biológico, historia clínica y demás información relativa a mi enfermedad pueda ser utilizada con fines científicos y docentes.</w:t>
      </w:r>
    </w:p>
    <w:p w:rsidR="0003461D" w:rsidRPr="00252AFA" w:rsidDel="00451A99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SÍ </w:t>
      </w:r>
      <w:r w:rsidRPr="00252AFA">
        <w:rPr>
          <w:rFonts w:ascii="Arial" w:hAnsi="Arial" w:cs="Arial"/>
          <w:sz w:val="36"/>
          <w:szCs w:val="36"/>
        </w:rPr>
        <w:sym w:font="Symbol" w:char="F080"/>
      </w:r>
      <w:r w:rsidRPr="00252AFA">
        <w:rPr>
          <w:rFonts w:ascii="Arial" w:hAnsi="Arial" w:cs="Arial"/>
          <w:sz w:val="18"/>
          <w:szCs w:val="18"/>
        </w:rPr>
        <w:t xml:space="preserve">NO </w:t>
      </w:r>
      <w:r w:rsidRPr="00252AFA">
        <w:rPr>
          <w:rFonts w:ascii="Arial" w:hAnsi="Arial" w:cs="Arial"/>
          <w:sz w:val="36"/>
          <w:szCs w:val="36"/>
        </w:rPr>
        <w:sym w:font="Symbol" w:char="F080"/>
      </w: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b/>
          <w:bCs/>
          <w:sz w:val="18"/>
          <w:szCs w:val="18"/>
        </w:rPr>
      </w:pP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Nombre del médico: _____________________________________________________ </w:t>
      </w: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</w:rPr>
        <w:t xml:space="preserve">Firma________________________________________________  Fecha: </w:t>
      </w: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:rsidR="0003461D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Nombre del paciente (o testigo) *: __________________________________________  </w:t>
      </w: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</w:rPr>
      </w:pPr>
      <w:r w:rsidRPr="00252AFA">
        <w:rPr>
          <w:rFonts w:ascii="Arial" w:hAnsi="Arial" w:cs="Arial"/>
        </w:rPr>
        <w:t>Firma*:_____________________________________________Fecha*: ________________________________________________________________</w:t>
      </w: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:rsidR="0003461D" w:rsidRPr="00252AFA" w:rsidRDefault="0003461D" w:rsidP="0003461D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>*Si el paciente no es capaz de leer o escribir, un testigo imparcial podrá completar la sección superior.</w:t>
      </w:r>
    </w:p>
    <w:p w:rsidR="0003461D" w:rsidRDefault="0003461D" w:rsidP="0003461D">
      <w:pPr>
        <w:autoSpaceDE w:val="0"/>
        <w:autoSpaceDN w:val="0"/>
        <w:adjustRightInd w:val="0"/>
        <w:ind w:left="851" w:right="962" w:firstLine="142"/>
        <w:jc w:val="both"/>
        <w:rPr>
          <w:rFonts w:ascii="Arial" w:hAnsi="Arial" w:cs="Arial"/>
        </w:rPr>
      </w:pPr>
    </w:p>
    <w:p w:rsidR="0003461D" w:rsidRPr="006442DD" w:rsidRDefault="0003461D" w:rsidP="005873BB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sectPr w:rsidR="0003461D" w:rsidRPr="006442DD">
      <w:footerReference w:type="default" r:id="rId8"/>
      <w:pgSz w:w="11906" w:h="16838" w:code="9"/>
      <w:pgMar w:top="357" w:right="454" w:bottom="737" w:left="851" w:header="567" w:footer="567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B4" w:rsidRDefault="00773AB4">
      <w:r>
        <w:separator/>
      </w:r>
    </w:p>
  </w:endnote>
  <w:endnote w:type="continuationSeparator" w:id="0">
    <w:p w:rsidR="00773AB4" w:rsidRDefault="0077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22" w:rsidRDefault="00AA5022">
    <w:pPr>
      <w:pStyle w:val="Piedepgina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  <w:bdr w:val="single" w:sz="4" w:space="0" w:color="auto"/>
      </w:rPr>
      <w:t>05.00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B4" w:rsidRDefault="00773AB4">
      <w:r>
        <w:separator/>
      </w:r>
    </w:p>
  </w:footnote>
  <w:footnote w:type="continuationSeparator" w:id="0">
    <w:p w:rsidR="00773AB4" w:rsidRDefault="0077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A29F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95217"/>
    <w:multiLevelType w:val="hybridMultilevel"/>
    <w:tmpl w:val="191220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93D97"/>
    <w:multiLevelType w:val="hybridMultilevel"/>
    <w:tmpl w:val="A2E4A1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2D7"/>
    <w:multiLevelType w:val="hybridMultilevel"/>
    <w:tmpl w:val="D438E7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E2A3810"/>
    <w:multiLevelType w:val="singleLevel"/>
    <w:tmpl w:val="1928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32058F"/>
    <w:multiLevelType w:val="hybridMultilevel"/>
    <w:tmpl w:val="87CAC584"/>
    <w:lvl w:ilvl="0" w:tplc="5E22AF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E722D"/>
    <w:multiLevelType w:val="hybridMultilevel"/>
    <w:tmpl w:val="0B680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56F16"/>
    <w:multiLevelType w:val="hybridMultilevel"/>
    <w:tmpl w:val="D458AF56"/>
    <w:lvl w:ilvl="0" w:tplc="00000003"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A510E6"/>
    <w:multiLevelType w:val="hybridMultilevel"/>
    <w:tmpl w:val="493619D0"/>
    <w:lvl w:ilvl="0" w:tplc="0F18694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 w15:restartNumberingAfterBreak="0">
    <w:nsid w:val="60294405"/>
    <w:multiLevelType w:val="hybridMultilevel"/>
    <w:tmpl w:val="536A59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F11E7"/>
    <w:multiLevelType w:val="hybridMultilevel"/>
    <w:tmpl w:val="11DED9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E4D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mirrorMargins/>
  <w:alignBordersAndEdg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3E"/>
    <w:rsid w:val="00026F2A"/>
    <w:rsid w:val="0003461D"/>
    <w:rsid w:val="000D6EE1"/>
    <w:rsid w:val="000E67CD"/>
    <w:rsid w:val="00147EAB"/>
    <w:rsid w:val="001828F8"/>
    <w:rsid w:val="001A0403"/>
    <w:rsid w:val="001B3397"/>
    <w:rsid w:val="001B6565"/>
    <w:rsid w:val="002432A6"/>
    <w:rsid w:val="00261D54"/>
    <w:rsid w:val="00280EA0"/>
    <w:rsid w:val="002929B3"/>
    <w:rsid w:val="0030497C"/>
    <w:rsid w:val="00331BB8"/>
    <w:rsid w:val="00395292"/>
    <w:rsid w:val="003D7439"/>
    <w:rsid w:val="0043661F"/>
    <w:rsid w:val="0045528A"/>
    <w:rsid w:val="004931A8"/>
    <w:rsid w:val="004A085F"/>
    <w:rsid w:val="004C2A16"/>
    <w:rsid w:val="004D53EE"/>
    <w:rsid w:val="005873BB"/>
    <w:rsid w:val="005A13B1"/>
    <w:rsid w:val="00632980"/>
    <w:rsid w:val="006442DD"/>
    <w:rsid w:val="00684BC8"/>
    <w:rsid w:val="006A1773"/>
    <w:rsid w:val="006B60ED"/>
    <w:rsid w:val="00764A41"/>
    <w:rsid w:val="00773AB4"/>
    <w:rsid w:val="00784447"/>
    <w:rsid w:val="008230A6"/>
    <w:rsid w:val="008B251A"/>
    <w:rsid w:val="008C627F"/>
    <w:rsid w:val="0090547E"/>
    <w:rsid w:val="009525F7"/>
    <w:rsid w:val="00A00794"/>
    <w:rsid w:val="00A62C96"/>
    <w:rsid w:val="00A8365D"/>
    <w:rsid w:val="00A85C49"/>
    <w:rsid w:val="00AA0B6E"/>
    <w:rsid w:val="00AA5022"/>
    <w:rsid w:val="00AB16BF"/>
    <w:rsid w:val="00AE4FAB"/>
    <w:rsid w:val="00AF0CB9"/>
    <w:rsid w:val="00B25869"/>
    <w:rsid w:val="00B37368"/>
    <w:rsid w:val="00BC13BC"/>
    <w:rsid w:val="00BC2A5B"/>
    <w:rsid w:val="00BC485E"/>
    <w:rsid w:val="00BC4E1D"/>
    <w:rsid w:val="00BF5DF4"/>
    <w:rsid w:val="00C42758"/>
    <w:rsid w:val="00C7313E"/>
    <w:rsid w:val="00C80571"/>
    <w:rsid w:val="00C94BAB"/>
    <w:rsid w:val="00D0049A"/>
    <w:rsid w:val="00D07383"/>
    <w:rsid w:val="00D324E0"/>
    <w:rsid w:val="00D560F1"/>
    <w:rsid w:val="00D80D8A"/>
    <w:rsid w:val="00DA6166"/>
    <w:rsid w:val="00E352B5"/>
    <w:rsid w:val="00E41365"/>
    <w:rsid w:val="00E76FAC"/>
    <w:rsid w:val="00E957DF"/>
    <w:rsid w:val="00EA23DE"/>
    <w:rsid w:val="00EC4201"/>
    <w:rsid w:val="00F00830"/>
    <w:rsid w:val="00F71B7C"/>
    <w:rsid w:val="00FD447D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B2808"/>
  <w15:chartTrackingRefBased/>
  <w15:docId w15:val="{A3137D8B-18BF-6B48-A8E9-180BE76E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73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</w:pBdr>
      <w:shd w:val="pct15" w:color="auto" w:fill="FFFFFF"/>
      <w:spacing w:before="120" w:after="60"/>
      <w:jc w:val="center"/>
      <w:outlineLvl w:val="1"/>
    </w:pPr>
    <w:rPr>
      <w:rFonts w:ascii="Arial" w:hAnsi="Arial"/>
      <w:b/>
      <w:small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227"/>
      </w:tabs>
      <w:spacing w:before="60" w:after="60"/>
      <w:ind w:left="227" w:hanging="227"/>
      <w:outlineLvl w:val="2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Sangra2detindependiente">
    <w:name w:val="Body Text Indent 2"/>
    <w:basedOn w:val="Normal"/>
    <w:pPr>
      <w:ind w:firstLine="709"/>
      <w:jc w:val="both"/>
    </w:pPr>
    <w:rPr>
      <w:rFonts w:ascii="Arial" w:hAnsi="Arial"/>
    </w:rPr>
  </w:style>
  <w:style w:type="paragraph" w:styleId="Textodebloque">
    <w:name w:val="Block Text"/>
    <w:basedOn w:val="Normal"/>
    <w:pPr>
      <w:ind w:left="142" w:right="111" w:firstLine="567"/>
      <w:jc w:val="both"/>
    </w:pPr>
    <w:rPr>
      <w:rFonts w:ascii="Arial" w:hAnsi="Arial"/>
    </w:rPr>
  </w:style>
  <w:style w:type="table" w:customStyle="1" w:styleId="Estilo1">
    <w:name w:val="Estilo1"/>
    <w:basedOn w:val="Tablamoderna"/>
    <w:uiPriority w:val="99"/>
    <w:qFormat/>
    <w:rsid w:val="00A85C49"/>
    <w:pPr>
      <w:jc w:val="both"/>
    </w:pPr>
    <w:rPr>
      <w:rFonts w:ascii="Calibri" w:eastAsia="Calibri" w:hAnsi="Calibri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moderna">
    <w:name w:val="Table Contemporary"/>
    <w:basedOn w:val="Tablanormal"/>
    <w:rsid w:val="00A85C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C%20Informados%201\informe%20de%20alta%20BLANC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informe%20de%20alta%20BLANCO.dot</Template>
  <TotalTime>3</TotalTime>
  <Pages>2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MOTIVO DE CONSULTA</vt:lpstr>
    </vt:vector>
  </TitlesOfParts>
  <Company>HULP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MOTIVO DE CONSULTA</dc:title>
  <dc:subject/>
  <dc:creator>Medicina Preventiva</dc:creator>
  <cp:keywords/>
  <cp:lastModifiedBy>Federico Diaz</cp:lastModifiedBy>
  <cp:revision>5</cp:revision>
  <cp:lastPrinted>2011-02-02T13:31:00Z</cp:lastPrinted>
  <dcterms:created xsi:type="dcterms:W3CDTF">2018-03-13T13:20:00Z</dcterms:created>
  <dcterms:modified xsi:type="dcterms:W3CDTF">2018-03-13T13:23:00Z</dcterms:modified>
</cp:coreProperties>
</file>