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529"/>
      </w:tblGrid>
      <w:tr w:rsidR="006A1773" w14:paraId="6307B462" w14:textId="77777777" w:rsidTr="00663220">
        <w:trPr>
          <w:cantSplit/>
          <w:trHeight w:val="125"/>
        </w:trPr>
        <w:tc>
          <w:tcPr>
            <w:tcW w:w="5103" w:type="dxa"/>
            <w:tcBorders>
              <w:top w:val="single" w:sz="4" w:space="0" w:color="auto"/>
              <w:left w:val="single" w:sz="4" w:space="0" w:color="auto"/>
              <w:bottom w:val="nil"/>
              <w:right w:val="single" w:sz="4" w:space="0" w:color="auto"/>
            </w:tcBorders>
          </w:tcPr>
          <w:p w14:paraId="3A438333" w14:textId="77777777" w:rsidR="006A1773" w:rsidRDefault="006A1773" w:rsidP="00807C54">
            <w:pPr>
              <w:jc w:val="both"/>
            </w:pPr>
          </w:p>
        </w:tc>
        <w:tc>
          <w:tcPr>
            <w:tcW w:w="5529" w:type="dxa"/>
            <w:vMerge w:val="restart"/>
            <w:tcBorders>
              <w:top w:val="single" w:sz="4" w:space="0" w:color="auto"/>
              <w:left w:val="nil"/>
              <w:bottom w:val="single" w:sz="4" w:space="0" w:color="auto"/>
              <w:right w:val="single" w:sz="4" w:space="0" w:color="auto"/>
            </w:tcBorders>
            <w:vAlign w:val="center"/>
          </w:tcPr>
          <w:p w14:paraId="4B0D107F" w14:textId="77777777" w:rsidR="006A1773" w:rsidRDefault="006A1773" w:rsidP="00807C54">
            <w:pPr>
              <w:spacing w:line="360" w:lineRule="auto"/>
              <w:jc w:val="both"/>
              <w:rPr>
                <w:rFonts w:ascii="Arial" w:hAnsi="Arial" w:cs="Arial"/>
                <w:sz w:val="22"/>
              </w:rPr>
            </w:pPr>
            <w:r>
              <w:rPr>
                <w:rFonts w:ascii="Arial" w:hAnsi="Arial" w:cs="Arial"/>
                <w:b/>
                <w:bCs/>
                <w:sz w:val="22"/>
              </w:rPr>
              <w:t>CENTRO:</w:t>
            </w:r>
            <w:r>
              <w:rPr>
                <w:rFonts w:ascii="Arial" w:hAnsi="Arial" w:cs="Arial"/>
                <w:sz w:val="22"/>
              </w:rPr>
              <w:t>................................................................................</w:t>
            </w:r>
          </w:p>
          <w:p w14:paraId="4F3EB13A" w14:textId="77777777" w:rsidR="006A1773" w:rsidRDefault="006A1773" w:rsidP="00807C54">
            <w:pPr>
              <w:tabs>
                <w:tab w:val="right" w:leader="dot" w:pos="6804"/>
              </w:tabs>
              <w:spacing w:line="360" w:lineRule="auto"/>
              <w:jc w:val="both"/>
              <w:rPr>
                <w:rFonts w:ascii="Arial" w:hAnsi="Arial"/>
                <w:sz w:val="22"/>
              </w:rPr>
            </w:pPr>
            <w:r>
              <w:rPr>
                <w:rFonts w:ascii="Arial" w:hAnsi="Arial"/>
                <w:b/>
                <w:sz w:val="22"/>
              </w:rPr>
              <w:t xml:space="preserve">NOMBRE: </w:t>
            </w:r>
            <w:r>
              <w:rPr>
                <w:rFonts w:ascii="Arial" w:hAnsi="Arial"/>
              </w:rPr>
              <w:tab/>
            </w:r>
          </w:p>
          <w:p w14:paraId="3321D6C9" w14:textId="77777777" w:rsidR="00B37368" w:rsidRDefault="006A1773" w:rsidP="00807C54">
            <w:pPr>
              <w:tabs>
                <w:tab w:val="right" w:leader="dot" w:pos="3474"/>
                <w:tab w:val="left" w:pos="3899"/>
                <w:tab w:val="right" w:leader="dot" w:pos="6804"/>
              </w:tabs>
              <w:spacing w:line="360" w:lineRule="auto"/>
              <w:jc w:val="both"/>
              <w:rPr>
                <w:rFonts w:ascii="Arial" w:hAnsi="Arial"/>
              </w:rPr>
            </w:pPr>
            <w:r>
              <w:rPr>
                <w:rFonts w:ascii="Arial" w:hAnsi="Arial"/>
                <w:b/>
                <w:sz w:val="22"/>
              </w:rPr>
              <w:t xml:space="preserve">PROCEDENCIA (CAMA): </w:t>
            </w:r>
            <w:r>
              <w:rPr>
                <w:rFonts w:ascii="Arial" w:hAnsi="Arial"/>
              </w:rPr>
              <w:tab/>
              <w:t>......................</w:t>
            </w:r>
          </w:p>
          <w:p w14:paraId="3439B942" w14:textId="77777777" w:rsidR="006A1773" w:rsidRDefault="006A1773" w:rsidP="00807C54">
            <w:pPr>
              <w:tabs>
                <w:tab w:val="right" w:leader="dot" w:pos="3474"/>
                <w:tab w:val="left" w:pos="3899"/>
                <w:tab w:val="right" w:leader="dot" w:pos="6804"/>
              </w:tabs>
              <w:spacing w:line="360" w:lineRule="auto"/>
              <w:jc w:val="both"/>
              <w:rPr>
                <w:rFonts w:ascii="Arial" w:hAnsi="Arial"/>
                <w:sz w:val="22"/>
              </w:rPr>
            </w:pPr>
            <w:r>
              <w:rPr>
                <w:rFonts w:ascii="Arial" w:hAnsi="Arial"/>
                <w:b/>
                <w:sz w:val="22"/>
              </w:rPr>
              <w:t xml:space="preserve">NHC: </w:t>
            </w:r>
            <w:r>
              <w:rPr>
                <w:rFonts w:ascii="Arial" w:hAnsi="Arial"/>
              </w:rPr>
              <w:tab/>
            </w:r>
          </w:p>
          <w:p w14:paraId="2584E375" w14:textId="77777777" w:rsidR="00B37368" w:rsidRDefault="006A1773" w:rsidP="00807C54">
            <w:pPr>
              <w:tabs>
                <w:tab w:val="right" w:leader="dot" w:pos="1631"/>
                <w:tab w:val="right" w:leader="dot" w:pos="2340"/>
                <w:tab w:val="right" w:leader="dot" w:pos="3048"/>
                <w:tab w:val="left" w:pos="3899"/>
                <w:tab w:val="right" w:leader="dot" w:pos="6381"/>
              </w:tabs>
              <w:spacing w:line="360" w:lineRule="auto"/>
              <w:jc w:val="both"/>
              <w:rPr>
                <w:rFonts w:ascii="Arial" w:hAnsi="Arial"/>
              </w:rPr>
            </w:pPr>
            <w:r>
              <w:rPr>
                <w:rFonts w:ascii="Arial" w:hAnsi="Arial"/>
                <w:b/>
                <w:sz w:val="22"/>
              </w:rPr>
              <w:t xml:space="preserve">FECHA: </w:t>
            </w:r>
            <w:r>
              <w:rPr>
                <w:rFonts w:ascii="Arial" w:hAnsi="Arial"/>
              </w:rPr>
              <w:tab/>
            </w:r>
            <w:r>
              <w:rPr>
                <w:rFonts w:ascii="Arial" w:hAnsi="Arial"/>
                <w:b/>
                <w:sz w:val="22"/>
              </w:rPr>
              <w:t>/</w:t>
            </w:r>
            <w:r>
              <w:rPr>
                <w:rFonts w:ascii="Arial" w:hAnsi="Arial"/>
              </w:rPr>
              <w:tab/>
            </w:r>
            <w:r>
              <w:rPr>
                <w:rFonts w:ascii="Arial" w:hAnsi="Arial"/>
                <w:b/>
                <w:sz w:val="22"/>
              </w:rPr>
              <w:t>/</w:t>
            </w:r>
            <w:r>
              <w:rPr>
                <w:rFonts w:ascii="Arial" w:hAnsi="Arial"/>
              </w:rPr>
              <w:tab/>
            </w:r>
          </w:p>
          <w:p w14:paraId="7616C81B" w14:textId="77777777" w:rsidR="006A1773" w:rsidRDefault="006A1773" w:rsidP="00807C54">
            <w:pPr>
              <w:tabs>
                <w:tab w:val="right" w:leader="dot" w:pos="1631"/>
                <w:tab w:val="right" w:leader="dot" w:pos="2340"/>
                <w:tab w:val="right" w:leader="dot" w:pos="3048"/>
                <w:tab w:val="left" w:pos="3899"/>
                <w:tab w:val="right" w:leader="dot" w:pos="6381"/>
              </w:tabs>
              <w:spacing w:line="360" w:lineRule="auto"/>
              <w:jc w:val="both"/>
              <w:rPr>
                <w:rFonts w:ascii="Arial" w:hAnsi="Arial"/>
                <w:sz w:val="22"/>
              </w:rPr>
            </w:pPr>
            <w:r>
              <w:rPr>
                <w:rFonts w:ascii="Arial" w:hAnsi="Arial"/>
                <w:b/>
                <w:sz w:val="22"/>
              </w:rPr>
              <w:t>GÉNERO:</w:t>
            </w:r>
            <w:r w:rsidR="008C627F">
              <w:rPr>
                <w:rFonts w:ascii="Arial" w:hAnsi="Arial"/>
                <w:b/>
                <w:sz w:val="22"/>
              </w:rPr>
              <w:t>……….</w:t>
            </w:r>
          </w:p>
        </w:tc>
      </w:tr>
      <w:tr w:rsidR="006A1773" w14:paraId="5CECA8AC" w14:textId="77777777" w:rsidTr="00663220">
        <w:trPr>
          <w:cantSplit/>
          <w:trHeight w:val="1130"/>
        </w:trPr>
        <w:tc>
          <w:tcPr>
            <w:tcW w:w="5103" w:type="dxa"/>
            <w:tcBorders>
              <w:top w:val="nil"/>
              <w:left w:val="single" w:sz="4" w:space="0" w:color="auto"/>
              <w:bottom w:val="single" w:sz="4" w:space="0" w:color="auto"/>
              <w:right w:val="single" w:sz="4" w:space="0" w:color="auto"/>
            </w:tcBorders>
          </w:tcPr>
          <w:p w14:paraId="39A0081E" w14:textId="50CD5079" w:rsidR="006A1773" w:rsidRDefault="00F34895" w:rsidP="00807C54">
            <w:pPr>
              <w:jc w:val="both"/>
            </w:pPr>
            <w:r w:rsidRPr="00FB0A89">
              <w:rPr>
                <w:noProof/>
                <w:snapToGrid w:val="0"/>
                <w:color w:val="000000"/>
                <w:w w:val="0"/>
                <w:sz w:val="0"/>
                <w:szCs w:val="0"/>
                <w:u w:color="000000"/>
                <w:bdr w:val="none" w:sz="0" w:space="0" w:color="000000"/>
                <w:shd w:val="clear" w:color="000000" w:fill="000000"/>
                <w:lang w:val="es-ES_tradnl" w:eastAsia="es-ES_tradnl"/>
              </w:rPr>
              <w:drawing>
                <wp:inline distT="0" distB="0" distL="0" distR="0" wp14:anchorId="65DF143F" wp14:editId="0BD6F6F8">
                  <wp:extent cx="2825115" cy="1449705"/>
                  <wp:effectExtent l="0" t="0" r="0" b="0"/>
                  <wp:docPr id="1" name="Imagen 1"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_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115" cy="1449705"/>
                          </a:xfrm>
                          <a:prstGeom prst="rect">
                            <a:avLst/>
                          </a:prstGeom>
                          <a:noFill/>
                          <a:ln>
                            <a:noFill/>
                          </a:ln>
                        </pic:spPr>
                      </pic:pic>
                    </a:graphicData>
                  </a:graphic>
                </wp:inline>
              </w:drawing>
            </w:r>
          </w:p>
        </w:tc>
        <w:tc>
          <w:tcPr>
            <w:tcW w:w="5529" w:type="dxa"/>
            <w:vMerge/>
            <w:tcBorders>
              <w:top w:val="nil"/>
              <w:left w:val="nil"/>
              <w:bottom w:val="nil"/>
              <w:right w:val="single" w:sz="4" w:space="0" w:color="auto"/>
            </w:tcBorders>
          </w:tcPr>
          <w:p w14:paraId="4B642BAF" w14:textId="77777777" w:rsidR="006A1773" w:rsidRDefault="006A1773" w:rsidP="00807C54">
            <w:pPr>
              <w:jc w:val="both"/>
              <w:rPr>
                <w:rFonts w:ascii="Arial" w:hAnsi="Arial"/>
                <w:i/>
                <w:iCs/>
                <w:sz w:val="22"/>
              </w:rPr>
            </w:pPr>
          </w:p>
        </w:tc>
      </w:tr>
      <w:tr w:rsidR="00A8365D" w14:paraId="6ACCCD62" w14:textId="77777777" w:rsidTr="00663220">
        <w:trPr>
          <w:trHeight w:val="418"/>
        </w:trPr>
        <w:tc>
          <w:tcPr>
            <w:tcW w:w="5103" w:type="dxa"/>
            <w:tcBorders>
              <w:top w:val="nil"/>
              <w:left w:val="single" w:sz="4" w:space="0" w:color="auto"/>
              <w:bottom w:val="single" w:sz="4" w:space="0" w:color="auto"/>
            </w:tcBorders>
            <w:vAlign w:val="center"/>
          </w:tcPr>
          <w:p w14:paraId="7E0FAEFD" w14:textId="77777777" w:rsidR="00A8365D" w:rsidRDefault="00A8365D" w:rsidP="00807C54">
            <w:pPr>
              <w:pStyle w:val="Encabezado"/>
              <w:jc w:val="both"/>
              <w:rPr>
                <w:rFonts w:ascii="Arial" w:hAnsi="Arial"/>
                <w:b/>
                <w:i/>
                <w:iCs/>
                <w:sz w:val="24"/>
              </w:rPr>
            </w:pPr>
            <w:r>
              <w:rPr>
                <w:rFonts w:ascii="Arial" w:hAnsi="Arial"/>
                <w:b/>
                <w:i/>
                <w:iCs/>
                <w:sz w:val="24"/>
              </w:rPr>
              <w:t xml:space="preserve">HOJA DE </w:t>
            </w:r>
            <w:r w:rsidR="00663220">
              <w:rPr>
                <w:rFonts w:ascii="Arial" w:hAnsi="Arial"/>
                <w:b/>
                <w:i/>
                <w:iCs/>
                <w:sz w:val="24"/>
              </w:rPr>
              <w:t>CONSENTIMIENTO</w:t>
            </w:r>
            <w:r w:rsidR="00E7609D">
              <w:rPr>
                <w:rFonts w:ascii="Arial" w:hAnsi="Arial"/>
                <w:b/>
                <w:i/>
                <w:iCs/>
                <w:sz w:val="24"/>
              </w:rPr>
              <w:t xml:space="preserve"> </w:t>
            </w:r>
            <w:r w:rsidR="00663220">
              <w:rPr>
                <w:rFonts w:ascii="Arial" w:hAnsi="Arial"/>
                <w:b/>
                <w:i/>
                <w:iCs/>
                <w:sz w:val="24"/>
              </w:rPr>
              <w:t>INFORMADO</w:t>
            </w:r>
          </w:p>
        </w:tc>
        <w:tc>
          <w:tcPr>
            <w:tcW w:w="5529" w:type="dxa"/>
            <w:tcBorders>
              <w:top w:val="single" w:sz="4" w:space="0" w:color="auto"/>
              <w:bottom w:val="nil"/>
              <w:right w:val="single" w:sz="4" w:space="0" w:color="auto"/>
            </w:tcBorders>
            <w:vAlign w:val="center"/>
          </w:tcPr>
          <w:p w14:paraId="3AB91E51" w14:textId="77777777" w:rsidR="00A8365D" w:rsidRDefault="00A8365D" w:rsidP="00807C54">
            <w:pPr>
              <w:pStyle w:val="Encabezado"/>
              <w:jc w:val="both"/>
              <w:rPr>
                <w:rFonts w:ascii="Arial" w:hAnsi="Arial"/>
                <w:b/>
                <w:i/>
                <w:iCs/>
                <w:sz w:val="24"/>
              </w:rPr>
            </w:pPr>
            <w:r>
              <w:rPr>
                <w:rFonts w:ascii="Arial" w:hAnsi="Arial"/>
                <w:b/>
                <w:i/>
                <w:iCs/>
                <w:caps/>
                <w:noProof/>
                <w:sz w:val="24"/>
              </w:rPr>
              <w:t>REUMATOLOGÍA</w:t>
            </w:r>
          </w:p>
        </w:tc>
      </w:tr>
      <w:tr w:rsidR="00A8365D" w14:paraId="0FE76958" w14:textId="77777777">
        <w:trPr>
          <w:cantSplit/>
          <w:trHeight w:val="310"/>
        </w:trPr>
        <w:tc>
          <w:tcPr>
            <w:tcW w:w="10632" w:type="dxa"/>
            <w:gridSpan w:val="2"/>
            <w:tcBorders>
              <w:top w:val="single" w:sz="4" w:space="0" w:color="auto"/>
              <w:left w:val="single" w:sz="4" w:space="0" w:color="auto"/>
              <w:right w:val="single" w:sz="4" w:space="0" w:color="auto"/>
            </w:tcBorders>
            <w:vAlign w:val="center"/>
          </w:tcPr>
          <w:p w14:paraId="4DF01F23" w14:textId="4BC8336D" w:rsidR="00A8365D" w:rsidRDefault="00A8365D" w:rsidP="008A7EF9">
            <w:pPr>
              <w:pStyle w:val="Encabezado"/>
              <w:tabs>
                <w:tab w:val="clear" w:pos="4252"/>
                <w:tab w:val="clear" w:pos="8504"/>
                <w:tab w:val="left" w:pos="9144"/>
              </w:tabs>
              <w:jc w:val="both"/>
              <w:rPr>
                <w:rFonts w:ascii="Arial" w:hAnsi="Arial"/>
                <w:b/>
                <w:sz w:val="4"/>
              </w:rPr>
            </w:pPr>
            <w:r>
              <w:rPr>
                <w:rFonts w:ascii="Arial" w:hAnsi="Arial"/>
                <w:b/>
                <w:sz w:val="22"/>
              </w:rPr>
              <w:t xml:space="preserve">ACTUACIÓN: </w:t>
            </w:r>
            <w:r>
              <w:rPr>
                <w:rFonts w:ascii="Arial" w:hAnsi="Arial"/>
                <w:b/>
                <w:caps/>
                <w:noProof/>
                <w:sz w:val="22"/>
              </w:rPr>
              <w:t xml:space="preserve">TRATAMIENTO CON </w:t>
            </w:r>
            <w:r w:rsidR="008A7EF9">
              <w:rPr>
                <w:rFonts w:ascii="Arial" w:hAnsi="Arial"/>
                <w:b/>
                <w:caps/>
                <w:noProof/>
                <w:sz w:val="22"/>
              </w:rPr>
              <w:t>C</w:t>
            </w:r>
            <w:r w:rsidR="0032669B">
              <w:rPr>
                <w:rFonts w:ascii="Arial" w:hAnsi="Arial"/>
                <w:b/>
                <w:caps/>
                <w:noProof/>
                <w:sz w:val="22"/>
              </w:rPr>
              <w:t>OSENTYX</w:t>
            </w:r>
            <w:r w:rsidR="00663220">
              <w:rPr>
                <w:rFonts w:ascii="Arial" w:hAnsi="Arial"/>
                <w:b/>
                <w:caps/>
                <w:noProof/>
                <w:sz w:val="22"/>
              </w:rPr>
              <w:t xml:space="preserve"> </w:t>
            </w:r>
            <w:r w:rsidR="00663220">
              <w:rPr>
                <w:rFonts w:ascii="Arial" w:hAnsi="Arial" w:cs="Arial"/>
                <w:b/>
                <w:caps/>
                <w:color w:val="000000"/>
                <w:sz w:val="22"/>
                <w:lang w:val="es-ES_tradnl"/>
              </w:rPr>
              <w:t>® (</w:t>
            </w:r>
            <w:r w:rsidR="0032669B">
              <w:rPr>
                <w:rFonts w:ascii="Arial" w:hAnsi="Arial"/>
                <w:b/>
                <w:caps/>
                <w:noProof/>
                <w:sz w:val="22"/>
              </w:rPr>
              <w:t xml:space="preserve"> SECUKINUMAB</w:t>
            </w:r>
            <w:r>
              <w:rPr>
                <w:rFonts w:ascii="Arial" w:hAnsi="Arial"/>
                <w:b/>
                <w:caps/>
                <w:noProof/>
                <w:sz w:val="22"/>
              </w:rPr>
              <w:t>)</w:t>
            </w:r>
          </w:p>
        </w:tc>
      </w:tr>
    </w:tbl>
    <w:p w14:paraId="3BC11076" w14:textId="77777777" w:rsidR="00A8365D" w:rsidRDefault="00A8365D" w:rsidP="00807C54">
      <w:pPr>
        <w:pStyle w:val="Ttulo2"/>
        <w:jc w:val="both"/>
      </w:pPr>
      <w:r>
        <w:t>¿Qué le vamos a hacer?</w:t>
      </w:r>
    </w:p>
    <w:p w14:paraId="78A1613F" w14:textId="55CF3E4A" w:rsidR="00A8365D" w:rsidRDefault="00D52C94" w:rsidP="00220CD7">
      <w:pPr>
        <w:pStyle w:val="Ttulo3"/>
        <w:numPr>
          <w:ilvl w:val="0"/>
          <w:numId w:val="3"/>
        </w:numPr>
        <w:tabs>
          <w:tab w:val="clear" w:pos="227"/>
          <w:tab w:val="left" w:pos="284"/>
        </w:tabs>
        <w:ind w:right="253"/>
        <w:jc w:val="both"/>
        <w:rPr>
          <w:b/>
        </w:rPr>
      </w:pPr>
      <w:r>
        <w:rPr>
          <w:b/>
        </w:rPr>
        <w:t>¿</w:t>
      </w:r>
      <w:r w:rsidR="00A8365D">
        <w:rPr>
          <w:b/>
        </w:rPr>
        <w:t>Qué objetivos persigue</w:t>
      </w:r>
      <w:r w:rsidR="00FC6836">
        <w:rPr>
          <w:b/>
        </w:rPr>
        <w:t xml:space="preserve"> este tratamiento</w:t>
      </w:r>
      <w:r>
        <w:rPr>
          <w:b/>
        </w:rPr>
        <w:t>?</w:t>
      </w:r>
      <w:r w:rsidR="00A8365D">
        <w:rPr>
          <w:b/>
        </w:rPr>
        <w:t>:</w:t>
      </w:r>
      <w:r w:rsidR="00A8365D">
        <w:t xml:space="preserve"> </w:t>
      </w:r>
      <w:r w:rsidR="00A8365D">
        <w:rPr>
          <w:noProof/>
        </w:rPr>
        <w:t xml:space="preserve">Aliviar los síntomas y frenar la progresión de la </w:t>
      </w:r>
      <w:r w:rsidR="00A85C49">
        <w:rPr>
          <w:noProof/>
        </w:rPr>
        <w:t xml:space="preserve">artritis </w:t>
      </w:r>
      <w:r w:rsidR="00057307">
        <w:rPr>
          <w:noProof/>
        </w:rPr>
        <w:t>psoriá</w:t>
      </w:r>
      <w:r w:rsidR="00FC6836">
        <w:rPr>
          <w:noProof/>
        </w:rPr>
        <w:t>sica</w:t>
      </w:r>
      <w:r w:rsidR="00671F71">
        <w:rPr>
          <w:noProof/>
        </w:rPr>
        <w:t xml:space="preserve"> </w:t>
      </w:r>
      <w:r w:rsidR="00473400">
        <w:rPr>
          <w:noProof/>
        </w:rPr>
        <w:t xml:space="preserve">que no ha respondido adecuadamente </w:t>
      </w:r>
      <w:r w:rsidR="00671F71">
        <w:rPr>
          <w:noProof/>
        </w:rPr>
        <w:t>la terapia convencional.</w:t>
      </w:r>
      <w:r w:rsidR="00FC6836">
        <w:rPr>
          <w:noProof/>
        </w:rPr>
        <w:t xml:space="preserve"> </w:t>
      </w:r>
      <w:r w:rsidR="00A8365D">
        <w:rPr>
          <w:b/>
        </w:rPr>
        <w:t xml:space="preserve"> </w:t>
      </w:r>
    </w:p>
    <w:p w14:paraId="621C9AAE" w14:textId="77777777" w:rsidR="009127A2" w:rsidRDefault="00A8365D" w:rsidP="009127A2">
      <w:pPr>
        <w:pStyle w:val="Ttulo3"/>
        <w:numPr>
          <w:ilvl w:val="0"/>
          <w:numId w:val="3"/>
        </w:numPr>
        <w:tabs>
          <w:tab w:val="clear" w:pos="227"/>
          <w:tab w:val="left" w:pos="284"/>
        </w:tabs>
        <w:ind w:right="253"/>
        <w:jc w:val="both"/>
        <w:rPr>
          <w:b/>
        </w:rPr>
      </w:pPr>
      <w:r>
        <w:rPr>
          <w:b/>
        </w:rPr>
        <w:t>Descripción de la actuación</w:t>
      </w:r>
      <w:r w:rsidR="00D52C94">
        <w:rPr>
          <w:b/>
        </w:rPr>
        <w:t xml:space="preserve">: </w:t>
      </w:r>
    </w:p>
    <w:p w14:paraId="7E66FB85" w14:textId="1E2F4A13" w:rsidR="00CC4572" w:rsidRPr="009127A2" w:rsidRDefault="00A8365D" w:rsidP="00663220">
      <w:pPr>
        <w:pStyle w:val="Ttulo3"/>
        <w:numPr>
          <w:ilvl w:val="0"/>
          <w:numId w:val="11"/>
        </w:numPr>
        <w:tabs>
          <w:tab w:val="clear" w:pos="227"/>
          <w:tab w:val="left" w:pos="284"/>
        </w:tabs>
        <w:ind w:right="253"/>
        <w:jc w:val="both"/>
        <w:rPr>
          <w:b/>
        </w:rPr>
      </w:pPr>
      <w:r w:rsidRPr="009127A2">
        <w:rPr>
          <w:b/>
        </w:rPr>
        <w:t>En qué consiste:</w:t>
      </w:r>
      <w:r w:rsidRPr="009127A2">
        <w:t xml:space="preserve"> </w:t>
      </w:r>
      <w:r w:rsidR="0032669B">
        <w:t>Cosentyx</w:t>
      </w:r>
      <w:r w:rsidR="00663220">
        <w:rPr>
          <w:rFonts w:cs="Arial"/>
        </w:rPr>
        <w:t>®</w:t>
      </w:r>
      <w:r w:rsidR="00663220">
        <w:t xml:space="preserve"> (</w:t>
      </w:r>
      <w:r w:rsidR="0032669B">
        <w:t>Secukinuma</w:t>
      </w:r>
      <w:r w:rsidR="003D50C7">
        <w:t>b</w:t>
      </w:r>
      <w:r w:rsidR="00663220">
        <w:t xml:space="preserve">) </w:t>
      </w:r>
      <w:r w:rsidR="00FC6836" w:rsidRPr="009127A2">
        <w:t>es un anticue</w:t>
      </w:r>
      <w:r w:rsidR="00473400">
        <w:t>rpo monoclonal</w:t>
      </w:r>
      <w:r w:rsidR="004563DA">
        <w:t>, es dec</w:t>
      </w:r>
      <w:r w:rsidR="004563DA">
        <w:rPr>
          <w:lang w:val="en-US"/>
        </w:rPr>
        <w:t xml:space="preserve">ir </w:t>
      </w:r>
      <w:r w:rsidR="004563DA">
        <w:t xml:space="preserve">una proteína </w:t>
      </w:r>
      <w:r w:rsidR="00FC6836" w:rsidRPr="009127A2">
        <w:t>dis</w:t>
      </w:r>
      <w:r w:rsidR="004563DA">
        <w:t xml:space="preserve">eñada para reconocer, en este caso a </w:t>
      </w:r>
      <w:bookmarkStart w:id="0" w:name="_GoBack"/>
      <w:bookmarkEnd w:id="0"/>
      <w:r w:rsidR="00473400">
        <w:t xml:space="preserve">la interleukina-17A, </w:t>
      </w:r>
      <w:r w:rsidR="003D50C7">
        <w:t>un</w:t>
      </w:r>
      <w:r w:rsidR="00473400">
        <w:t xml:space="preserve">a citoquina </w:t>
      </w:r>
      <w:r w:rsidR="00D52C94" w:rsidRPr="009127A2">
        <w:rPr>
          <w:noProof/>
        </w:rPr>
        <w:t xml:space="preserve">responsables, entre otros </w:t>
      </w:r>
      <w:r w:rsidR="00327BFB">
        <w:rPr>
          <w:noProof/>
        </w:rPr>
        <w:t>manifestaciones</w:t>
      </w:r>
      <w:r w:rsidR="00D52C94" w:rsidRPr="009127A2">
        <w:rPr>
          <w:noProof/>
        </w:rPr>
        <w:t xml:space="preserve"> del dolor y la inflamación articular</w:t>
      </w:r>
      <w:r w:rsidR="00D52C94" w:rsidRPr="009127A2">
        <w:t xml:space="preserve"> </w:t>
      </w:r>
      <w:r w:rsidR="00FC6836" w:rsidRPr="009127A2">
        <w:t xml:space="preserve">que causan la artritis psoriásica. </w:t>
      </w:r>
      <w:r w:rsidR="00A11037">
        <w:t>Cosentyx</w:t>
      </w:r>
      <w:r w:rsidR="00663220">
        <w:rPr>
          <w:rFonts w:cs="Arial"/>
        </w:rPr>
        <w:t>®</w:t>
      </w:r>
      <w:r w:rsidR="00663220">
        <w:t xml:space="preserve"> </w:t>
      </w:r>
      <w:r w:rsidR="00300515">
        <w:t xml:space="preserve">bloquea la interleukina-17 impidiendo que se una </w:t>
      </w:r>
      <w:r w:rsidR="00650749">
        <w:t>con</w:t>
      </w:r>
      <w:r w:rsidR="00CC4572" w:rsidRPr="009127A2">
        <w:t xml:space="preserve"> </w:t>
      </w:r>
      <w:r w:rsidR="00220CD7" w:rsidRPr="009127A2">
        <w:t>su</w:t>
      </w:r>
      <w:r w:rsidR="00B951EA">
        <w:t xml:space="preserve"> receptor celular, lo que reduce</w:t>
      </w:r>
      <w:r w:rsidR="00FC6836" w:rsidRPr="009127A2">
        <w:t xml:space="preserve"> los síntomas y signos de </w:t>
      </w:r>
      <w:r w:rsidR="00D52C94" w:rsidRPr="009127A2">
        <w:t>su enfermedad</w:t>
      </w:r>
      <w:r w:rsidR="00FC6836" w:rsidRPr="009127A2">
        <w:t>.</w:t>
      </w:r>
      <w:r w:rsidR="00D52C94" w:rsidRPr="009127A2">
        <w:t xml:space="preserve"> Además, </w:t>
      </w:r>
      <w:r w:rsidR="00F92214">
        <w:t>Cosentyx</w:t>
      </w:r>
      <w:r w:rsidR="00663220">
        <w:rPr>
          <w:rFonts w:cs="Arial"/>
        </w:rPr>
        <w:t xml:space="preserve">® </w:t>
      </w:r>
      <w:r w:rsidR="00D52C94" w:rsidRPr="009127A2">
        <w:t>está indicado en la psoriasis cutánea</w:t>
      </w:r>
      <w:r w:rsidR="00D52C94" w:rsidRPr="00D52C94">
        <w:t xml:space="preserve"> </w:t>
      </w:r>
      <w:r w:rsidR="00D52C94" w:rsidRPr="009127A2">
        <w:t xml:space="preserve">en placa de moderada a grave </w:t>
      </w:r>
      <w:r w:rsidR="00C95B44">
        <w:t>y en la Espondilitis Anquilosante que no responde a</w:t>
      </w:r>
      <w:r w:rsidR="00650749">
        <w:t xml:space="preserve"> la</w:t>
      </w:r>
      <w:r w:rsidR="00C95B44">
        <w:t xml:space="preserve"> terapia convencional. </w:t>
      </w:r>
    </w:p>
    <w:p w14:paraId="4FCC1640" w14:textId="77777777" w:rsidR="00CC4572" w:rsidRPr="00CC4572" w:rsidRDefault="00CC4572" w:rsidP="00220CD7">
      <w:pPr>
        <w:ind w:left="360" w:right="253"/>
        <w:jc w:val="both"/>
        <w:rPr>
          <w:rFonts w:ascii="Arial" w:hAnsi="Arial" w:cs="Arial"/>
          <w:highlight w:val="yellow"/>
        </w:rPr>
      </w:pPr>
    </w:p>
    <w:p w14:paraId="637E75AE" w14:textId="474DC3D4" w:rsidR="00CC4572" w:rsidRPr="00CC4572" w:rsidRDefault="00807C54" w:rsidP="00663220">
      <w:pPr>
        <w:numPr>
          <w:ilvl w:val="0"/>
          <w:numId w:val="1"/>
        </w:numPr>
        <w:ind w:right="253"/>
        <w:jc w:val="both"/>
        <w:rPr>
          <w:rFonts w:ascii="Arial" w:hAnsi="Arial" w:cs="Arial"/>
        </w:rPr>
      </w:pPr>
      <w:r>
        <w:rPr>
          <w:rFonts w:ascii="Arial" w:hAnsi="Arial" w:cs="Arial"/>
          <w:b/>
          <w:bCs/>
          <w:noProof/>
        </w:rPr>
        <w:t>¿</w:t>
      </w:r>
      <w:r w:rsidR="00CC4572" w:rsidRPr="00A97DDE">
        <w:rPr>
          <w:rFonts w:ascii="Arial" w:hAnsi="Arial" w:cs="Arial"/>
          <w:b/>
          <w:bCs/>
        </w:rPr>
        <w:t>C</w:t>
      </w:r>
      <w:r w:rsidR="00A8365D" w:rsidRPr="00A97DDE">
        <w:rPr>
          <w:rFonts w:ascii="Arial" w:hAnsi="Arial" w:cs="Arial"/>
          <w:b/>
          <w:bCs/>
        </w:rPr>
        <w:t>ómo se realiza</w:t>
      </w:r>
      <w:r>
        <w:rPr>
          <w:rFonts w:ascii="Arial" w:hAnsi="Arial" w:cs="Arial"/>
          <w:b/>
          <w:bCs/>
        </w:rPr>
        <w:t>?</w:t>
      </w:r>
      <w:r w:rsidR="00A8365D" w:rsidRPr="00CC4572">
        <w:rPr>
          <w:rFonts w:ascii="Arial" w:hAnsi="Arial" w:cs="Arial"/>
        </w:rPr>
        <w:t xml:space="preserve">: </w:t>
      </w:r>
      <w:r w:rsidR="00CC4572" w:rsidRPr="00CC4572">
        <w:rPr>
          <w:rFonts w:ascii="Arial" w:hAnsi="Arial" w:cs="Arial"/>
          <w:noProof/>
        </w:rPr>
        <w:t xml:space="preserve">El tratamiento se le administrará por vía </w:t>
      </w:r>
      <w:r w:rsidR="00CC4572">
        <w:rPr>
          <w:rFonts w:ascii="Arial" w:hAnsi="Arial" w:cs="Arial"/>
          <w:noProof/>
        </w:rPr>
        <w:t>subcut</w:t>
      </w:r>
      <w:r w:rsidR="009A3B1C">
        <w:rPr>
          <w:rFonts w:ascii="Arial" w:hAnsi="Arial" w:cs="Arial"/>
          <w:noProof/>
        </w:rPr>
        <w:t>á</w:t>
      </w:r>
      <w:r w:rsidR="00CC4572">
        <w:rPr>
          <w:rFonts w:ascii="Arial" w:hAnsi="Arial" w:cs="Arial"/>
          <w:noProof/>
        </w:rPr>
        <w:t xml:space="preserve">nea. La </w:t>
      </w:r>
      <w:r w:rsidR="00CC4572" w:rsidRPr="00CC4572">
        <w:rPr>
          <w:rFonts w:ascii="Arial" w:hAnsi="Arial" w:cs="Arial"/>
        </w:rPr>
        <w:t xml:space="preserve">dosis inicial </w:t>
      </w:r>
      <w:r w:rsidR="00CC4572">
        <w:rPr>
          <w:rFonts w:ascii="Arial" w:hAnsi="Arial" w:cs="Arial"/>
        </w:rPr>
        <w:t xml:space="preserve">es </w:t>
      </w:r>
      <w:r w:rsidR="00CC4572" w:rsidRPr="00CC4572">
        <w:rPr>
          <w:rFonts w:ascii="Arial" w:hAnsi="Arial" w:cs="Arial"/>
        </w:rPr>
        <w:t xml:space="preserve">de </w:t>
      </w:r>
      <w:r w:rsidR="00E72E44">
        <w:rPr>
          <w:rFonts w:ascii="Arial" w:hAnsi="Arial" w:cs="Arial"/>
        </w:rPr>
        <w:t>300 mg e</w:t>
      </w:r>
      <w:r w:rsidR="00650749">
        <w:rPr>
          <w:rFonts w:ascii="Arial" w:hAnsi="Arial" w:cs="Arial"/>
        </w:rPr>
        <w:t>n los pacientes con artropatía p</w:t>
      </w:r>
      <w:r w:rsidR="00E72E44">
        <w:rPr>
          <w:rFonts w:ascii="Arial" w:hAnsi="Arial" w:cs="Arial"/>
        </w:rPr>
        <w:t xml:space="preserve">soriasica que tengan una psoriasis en placa </w:t>
      </w:r>
      <w:r w:rsidR="00EB3267">
        <w:rPr>
          <w:rFonts w:ascii="Arial" w:hAnsi="Arial" w:cs="Arial"/>
        </w:rPr>
        <w:t xml:space="preserve">de </w:t>
      </w:r>
      <w:r w:rsidR="00E72E44">
        <w:rPr>
          <w:rFonts w:ascii="Arial" w:hAnsi="Arial" w:cs="Arial"/>
        </w:rPr>
        <w:t>moderada</w:t>
      </w:r>
      <w:r w:rsidR="00EB3267">
        <w:rPr>
          <w:rFonts w:ascii="Arial" w:hAnsi="Arial" w:cs="Arial"/>
        </w:rPr>
        <w:t xml:space="preserve"> a grave o en los pacientes que no respondieron a los medicamentos que bloquean el TNF-</w:t>
      </w:r>
      <w:r w:rsidR="00EB3267" w:rsidRPr="008B54E9">
        <w:rPr>
          <w:rFonts w:ascii="Symbol" w:hAnsi="Symbol" w:cs="Arial"/>
        </w:rPr>
        <w:t></w:t>
      </w:r>
      <w:r w:rsidR="00EB3267">
        <w:rPr>
          <w:rFonts w:ascii="Arial" w:hAnsi="Arial" w:cs="Arial"/>
        </w:rPr>
        <w:t xml:space="preserve">. </w:t>
      </w:r>
      <w:r w:rsidR="000D36B6">
        <w:rPr>
          <w:rFonts w:ascii="Arial" w:hAnsi="Arial" w:cs="Arial"/>
        </w:rPr>
        <w:t>E</w:t>
      </w:r>
      <w:r w:rsidR="00837F74">
        <w:rPr>
          <w:rFonts w:ascii="Arial" w:hAnsi="Arial" w:cs="Arial"/>
        </w:rPr>
        <w:t>n el resto de pacientes se utiliza la dosis d</w:t>
      </w:r>
      <w:r w:rsidR="00641085">
        <w:rPr>
          <w:rFonts w:ascii="Arial" w:hAnsi="Arial" w:cs="Arial"/>
        </w:rPr>
        <w:t>e 150 mg</w:t>
      </w:r>
      <w:r w:rsidR="00221AD0">
        <w:rPr>
          <w:rFonts w:ascii="Arial" w:hAnsi="Arial" w:cs="Arial"/>
        </w:rPr>
        <w:t>.</w:t>
      </w:r>
      <w:r w:rsidR="00F615B0">
        <w:rPr>
          <w:rFonts w:ascii="Arial" w:hAnsi="Arial" w:cs="Arial"/>
        </w:rPr>
        <w:t xml:space="preserve"> Durante las cinco</w:t>
      </w:r>
      <w:r w:rsidR="00221AD0">
        <w:rPr>
          <w:rFonts w:ascii="Arial" w:hAnsi="Arial" w:cs="Arial"/>
        </w:rPr>
        <w:t xml:space="preserve"> primeras semanas se realiza una inyección semanal </w:t>
      </w:r>
      <w:r w:rsidR="00F615B0">
        <w:rPr>
          <w:rFonts w:ascii="Arial" w:hAnsi="Arial" w:cs="Arial"/>
        </w:rPr>
        <w:t xml:space="preserve">(fase de inducción) y las siguientes dosis </w:t>
      </w:r>
      <w:r w:rsidR="008B54E9">
        <w:rPr>
          <w:rFonts w:ascii="Arial" w:hAnsi="Arial" w:cs="Arial"/>
        </w:rPr>
        <w:t xml:space="preserve">se administran </w:t>
      </w:r>
      <w:r w:rsidR="00F615B0">
        <w:rPr>
          <w:rFonts w:ascii="Arial" w:hAnsi="Arial" w:cs="Arial"/>
        </w:rPr>
        <w:t>una vez al mes (</w:t>
      </w:r>
      <w:r w:rsidR="0076779B">
        <w:rPr>
          <w:rFonts w:ascii="Arial" w:hAnsi="Arial" w:cs="Arial"/>
        </w:rPr>
        <w:t xml:space="preserve">fase de mantenimiento). </w:t>
      </w:r>
      <w:r w:rsidR="00CC4572" w:rsidRPr="00CC4572">
        <w:rPr>
          <w:rFonts w:ascii="Arial" w:hAnsi="Arial" w:cs="Arial"/>
        </w:rPr>
        <w:t>El tratamiento con</w:t>
      </w:r>
      <w:r w:rsidR="0076779B">
        <w:rPr>
          <w:rFonts w:ascii="Arial" w:hAnsi="Arial" w:cs="Arial"/>
        </w:rPr>
        <w:t xml:space="preserve"> Cosentyx</w:t>
      </w:r>
      <w:r w:rsidR="00663220">
        <w:rPr>
          <w:rFonts w:cs="Arial"/>
        </w:rPr>
        <w:t xml:space="preserve">® </w:t>
      </w:r>
      <w:r w:rsidR="00CC4572" w:rsidRPr="00CC4572">
        <w:rPr>
          <w:rFonts w:ascii="Arial" w:hAnsi="Arial" w:cs="Arial"/>
        </w:rPr>
        <w:t xml:space="preserve">se mantendrá de forma continua siempre que se conserve la eficacia </w:t>
      </w:r>
      <w:r w:rsidR="00CC4572">
        <w:rPr>
          <w:rFonts w:ascii="Arial" w:hAnsi="Arial" w:cs="Arial"/>
        </w:rPr>
        <w:t xml:space="preserve">y no aparezcan efectos adversos atribuibles a él. </w:t>
      </w:r>
      <w:r w:rsidR="00CC4572" w:rsidRPr="00CC4572">
        <w:rPr>
          <w:rFonts w:ascii="Arial" w:hAnsi="Arial" w:cs="Arial"/>
        </w:rPr>
        <w:t>Se debe considerar la suspensión del tratamiento a los p</w:t>
      </w:r>
      <w:r w:rsidR="00CC4572">
        <w:rPr>
          <w:rFonts w:ascii="Arial" w:hAnsi="Arial" w:cs="Arial"/>
        </w:rPr>
        <w:t>acientes que no hayan obtenido una mejoría clínicamente relevante</w:t>
      </w:r>
      <w:r w:rsidR="00CC4572" w:rsidRPr="00CC4572">
        <w:rPr>
          <w:rFonts w:ascii="Arial" w:hAnsi="Arial" w:cs="Arial"/>
        </w:rPr>
        <w:t xml:space="preserve"> al cabo de </w:t>
      </w:r>
      <w:r w:rsidR="00DA1D6A">
        <w:rPr>
          <w:rFonts w:ascii="Arial" w:hAnsi="Arial" w:cs="Arial"/>
        </w:rPr>
        <w:t>16</w:t>
      </w:r>
      <w:r w:rsidR="00CC4572" w:rsidRPr="00CC4572">
        <w:rPr>
          <w:rFonts w:ascii="Arial" w:hAnsi="Arial" w:cs="Arial"/>
        </w:rPr>
        <w:t xml:space="preserve"> semanas de tratamiento.</w:t>
      </w:r>
    </w:p>
    <w:p w14:paraId="05758BA7" w14:textId="02260DA5" w:rsidR="00A97DDE" w:rsidRPr="00A97DDE" w:rsidRDefault="00CC4572" w:rsidP="00220CD7">
      <w:pPr>
        <w:ind w:left="709" w:right="253"/>
        <w:jc w:val="both"/>
        <w:rPr>
          <w:noProof/>
        </w:rPr>
      </w:pPr>
      <w:r w:rsidRPr="00CC4572">
        <w:rPr>
          <w:rFonts w:ascii="Arial" w:hAnsi="Arial" w:cs="Arial"/>
        </w:rPr>
        <w:t xml:space="preserve">De cualquier manera, </w:t>
      </w:r>
      <w:r w:rsidR="00B91F2E">
        <w:rPr>
          <w:rFonts w:ascii="Arial" w:hAnsi="Arial" w:cs="Arial"/>
          <w:noProof/>
        </w:rPr>
        <w:t>su médico decidirá cual es la dosis de</w:t>
      </w:r>
      <w:r w:rsidR="007920DB">
        <w:rPr>
          <w:rFonts w:ascii="Arial" w:hAnsi="Arial" w:cs="Arial"/>
          <w:noProof/>
        </w:rPr>
        <w:t xml:space="preserve"> Cosentyx</w:t>
      </w:r>
      <w:r w:rsidR="007920DB">
        <w:rPr>
          <w:rFonts w:cs="Arial"/>
        </w:rPr>
        <w:t>®</w:t>
      </w:r>
      <w:r w:rsidR="007920DB">
        <w:rPr>
          <w:rFonts w:ascii="Arial" w:hAnsi="Arial" w:cs="Arial"/>
          <w:noProof/>
        </w:rPr>
        <w:t xml:space="preserve"> nece</w:t>
      </w:r>
      <w:r w:rsidR="00B91F2E">
        <w:rPr>
          <w:rFonts w:ascii="Arial" w:hAnsi="Arial" w:cs="Arial"/>
          <w:noProof/>
        </w:rPr>
        <w:t>sita y durante cuánto tiempo, de</w:t>
      </w:r>
      <w:r w:rsidR="007920DB">
        <w:rPr>
          <w:rFonts w:ascii="Arial" w:hAnsi="Arial" w:cs="Arial"/>
          <w:noProof/>
        </w:rPr>
        <w:t xml:space="preserve">pendiendo </w:t>
      </w:r>
      <w:r w:rsidR="00E16DDB">
        <w:rPr>
          <w:rFonts w:ascii="Arial" w:hAnsi="Arial" w:cs="Arial"/>
          <w:noProof/>
        </w:rPr>
        <w:t xml:space="preserve">de la </w:t>
      </w:r>
      <w:r w:rsidR="009C46E1">
        <w:rPr>
          <w:rFonts w:ascii="Arial" w:hAnsi="Arial" w:cs="Arial"/>
        </w:rPr>
        <w:t xml:space="preserve">evolución </w:t>
      </w:r>
      <w:r w:rsidRPr="00CC4572">
        <w:rPr>
          <w:rFonts w:ascii="Arial" w:hAnsi="Arial" w:cs="Arial"/>
        </w:rPr>
        <w:t>de su artritis psoriásica.</w:t>
      </w:r>
      <w:r w:rsidR="00FD25EE" w:rsidRPr="00CC4572">
        <w:rPr>
          <w:rFonts w:ascii="Arial" w:hAnsi="Arial" w:cs="Arial"/>
          <w:noProof/>
        </w:rPr>
        <w:t xml:space="preserve"> </w:t>
      </w:r>
    </w:p>
    <w:p w14:paraId="097B2750" w14:textId="77777777" w:rsidR="00A97DDE" w:rsidRPr="00A97DDE" w:rsidRDefault="00A97DDE" w:rsidP="00220CD7">
      <w:pPr>
        <w:ind w:left="360" w:right="253"/>
        <w:jc w:val="both"/>
        <w:rPr>
          <w:noProof/>
        </w:rPr>
      </w:pPr>
    </w:p>
    <w:p w14:paraId="549FF0E4" w14:textId="4277849C" w:rsidR="00A97DDE" w:rsidRPr="00A97DDE" w:rsidRDefault="00A8365D" w:rsidP="00663220">
      <w:pPr>
        <w:numPr>
          <w:ilvl w:val="0"/>
          <w:numId w:val="1"/>
        </w:numPr>
        <w:ind w:right="253"/>
        <w:jc w:val="both"/>
        <w:rPr>
          <w:rFonts w:ascii="Arial" w:hAnsi="Arial" w:cs="Arial"/>
          <w:noProof/>
        </w:rPr>
      </w:pPr>
      <w:r w:rsidRPr="00A97DDE">
        <w:rPr>
          <w:rFonts w:ascii="Arial" w:hAnsi="Arial" w:cs="Arial"/>
          <w:b/>
          <w:bCs/>
          <w:noProof/>
        </w:rPr>
        <w:t>Actuaciones previas:</w:t>
      </w:r>
      <w:r w:rsidR="008C627F" w:rsidRPr="00A97DDE">
        <w:rPr>
          <w:rFonts w:ascii="Arial" w:hAnsi="Arial" w:cs="Arial"/>
          <w:noProof/>
        </w:rPr>
        <w:t xml:space="preserve"> </w:t>
      </w:r>
      <w:r w:rsidRPr="00A97DDE">
        <w:rPr>
          <w:rFonts w:ascii="Arial" w:hAnsi="Arial" w:cs="Arial"/>
          <w:noProof/>
        </w:rPr>
        <w:t xml:space="preserve">Antes de iniciar el tratamiento </w:t>
      </w:r>
      <w:r w:rsidR="005E1B3A" w:rsidRPr="00A97DDE">
        <w:rPr>
          <w:rFonts w:ascii="Arial" w:hAnsi="Arial" w:cs="Arial"/>
          <w:noProof/>
        </w:rPr>
        <w:t xml:space="preserve">con </w:t>
      </w:r>
      <w:r w:rsidR="00E16DDB">
        <w:rPr>
          <w:rFonts w:ascii="Arial" w:hAnsi="Arial" w:cs="Arial"/>
          <w:noProof/>
        </w:rPr>
        <w:t>Cosentyx</w:t>
      </w:r>
      <w:r w:rsidR="00663220" w:rsidRPr="00663220">
        <w:rPr>
          <w:rFonts w:ascii="Arial" w:hAnsi="Arial" w:cs="Arial"/>
          <w:noProof/>
        </w:rPr>
        <w:t>®</w:t>
      </w:r>
      <w:r w:rsidR="00663220">
        <w:rPr>
          <w:rFonts w:ascii="Arial" w:hAnsi="Arial" w:cs="Arial"/>
          <w:noProof/>
        </w:rPr>
        <w:t xml:space="preserve"> </w:t>
      </w:r>
      <w:r w:rsidRPr="00A97DDE">
        <w:rPr>
          <w:rFonts w:ascii="Arial" w:hAnsi="Arial" w:cs="Arial"/>
          <w:noProof/>
        </w:rPr>
        <w:t>se le practicará una evaluación que consiste en: historia médica complet</w:t>
      </w:r>
      <w:r w:rsidR="00D560F1" w:rsidRPr="00A97DDE">
        <w:rPr>
          <w:rFonts w:ascii="Arial" w:hAnsi="Arial" w:cs="Arial"/>
          <w:noProof/>
        </w:rPr>
        <w:t>a, exploración física, análisis</w:t>
      </w:r>
      <w:r w:rsidRPr="00A97DDE">
        <w:rPr>
          <w:rFonts w:ascii="Arial" w:hAnsi="Arial" w:cs="Arial"/>
          <w:noProof/>
        </w:rPr>
        <w:t xml:space="preserve"> de sangre y orina, </w:t>
      </w:r>
      <w:r w:rsidR="00AA0B6E" w:rsidRPr="00A97DDE">
        <w:rPr>
          <w:rFonts w:ascii="Arial" w:hAnsi="Arial" w:cs="Arial"/>
          <w:noProof/>
        </w:rPr>
        <w:t>serología VHB y VHC, Mantoux</w:t>
      </w:r>
      <w:r w:rsidR="00D560F1" w:rsidRPr="00A97DDE">
        <w:rPr>
          <w:rFonts w:ascii="Arial" w:hAnsi="Arial" w:cs="Arial"/>
          <w:noProof/>
        </w:rPr>
        <w:t>, radiografí</w:t>
      </w:r>
      <w:r w:rsidRPr="00A97DDE">
        <w:rPr>
          <w:rFonts w:ascii="Arial" w:hAnsi="Arial" w:cs="Arial"/>
          <w:noProof/>
        </w:rPr>
        <w:t>a de tórax y test de embarazo a las mujeres en edad fértil.</w:t>
      </w:r>
    </w:p>
    <w:p w14:paraId="16E949F3" w14:textId="77777777" w:rsidR="00A97DDE" w:rsidRPr="00A97DDE" w:rsidRDefault="00A97DDE" w:rsidP="00220CD7">
      <w:pPr>
        <w:ind w:left="360" w:right="253"/>
        <w:jc w:val="both"/>
        <w:rPr>
          <w:noProof/>
        </w:rPr>
      </w:pPr>
    </w:p>
    <w:p w14:paraId="0EC6B111" w14:textId="07A8A270" w:rsidR="008C627F" w:rsidRPr="0015243E" w:rsidRDefault="00A8365D" w:rsidP="00663220">
      <w:pPr>
        <w:numPr>
          <w:ilvl w:val="0"/>
          <w:numId w:val="1"/>
        </w:numPr>
        <w:ind w:right="253"/>
        <w:jc w:val="both"/>
        <w:rPr>
          <w:rFonts w:ascii="Arial" w:hAnsi="Arial" w:cs="Arial"/>
          <w:b/>
          <w:bCs/>
          <w:noProof/>
        </w:rPr>
      </w:pPr>
      <w:r w:rsidRPr="00A97DDE">
        <w:rPr>
          <w:rFonts w:ascii="Arial" w:hAnsi="Arial" w:cs="Arial"/>
          <w:b/>
          <w:bCs/>
          <w:noProof/>
        </w:rPr>
        <w:t>Recomendaciones:</w:t>
      </w:r>
      <w:r w:rsidR="00A97DDE" w:rsidRPr="00A97DDE">
        <w:rPr>
          <w:rFonts w:ascii="Arial" w:hAnsi="Arial" w:cs="Arial"/>
          <w:b/>
          <w:bCs/>
          <w:noProof/>
        </w:rPr>
        <w:t xml:space="preserve"> </w:t>
      </w:r>
      <w:r w:rsidRPr="00A97DDE">
        <w:rPr>
          <w:rFonts w:ascii="Arial" w:hAnsi="Arial" w:cs="Arial"/>
          <w:noProof/>
        </w:rPr>
        <w:t>Tras iniciar el tratamiento</w:t>
      </w:r>
      <w:r w:rsidR="00D560F1" w:rsidRPr="00A97DDE">
        <w:rPr>
          <w:rFonts w:ascii="Arial" w:hAnsi="Arial" w:cs="Arial"/>
          <w:noProof/>
        </w:rPr>
        <w:t>,</w:t>
      </w:r>
      <w:r w:rsidRPr="00A97DDE">
        <w:rPr>
          <w:rFonts w:ascii="Arial" w:hAnsi="Arial" w:cs="Arial"/>
          <w:noProof/>
        </w:rPr>
        <w:t xml:space="preserve"> </w:t>
      </w:r>
      <w:r w:rsidR="00F15BF9" w:rsidRPr="00A97DDE">
        <w:rPr>
          <w:rFonts w:ascii="Arial" w:hAnsi="Arial" w:cs="Arial"/>
          <w:noProof/>
        </w:rPr>
        <w:t>su médico le informará sobre la periodicidad de las consultas sucesivas</w:t>
      </w:r>
      <w:r w:rsidR="009C46E1">
        <w:rPr>
          <w:rFonts w:ascii="Arial" w:hAnsi="Arial" w:cs="Arial"/>
          <w:noProof/>
        </w:rPr>
        <w:t xml:space="preserve"> a las que debe </w:t>
      </w:r>
      <w:r w:rsidR="002D7B94">
        <w:rPr>
          <w:rFonts w:ascii="Arial" w:hAnsi="Arial" w:cs="Arial"/>
          <w:noProof/>
        </w:rPr>
        <w:t>asistir</w:t>
      </w:r>
      <w:r w:rsidR="00F15BF9" w:rsidRPr="00A97DDE">
        <w:rPr>
          <w:rFonts w:ascii="Arial" w:hAnsi="Arial" w:cs="Arial"/>
          <w:noProof/>
        </w:rPr>
        <w:t xml:space="preserve"> cuyo objetivo es determinar la efectividad del fármaco y el descartar efectos adversos.</w:t>
      </w:r>
      <w:r w:rsidRPr="00A97DDE">
        <w:rPr>
          <w:rFonts w:ascii="Arial" w:hAnsi="Arial" w:cs="Arial"/>
          <w:noProof/>
        </w:rPr>
        <w:t xml:space="preserve"> </w:t>
      </w:r>
      <w:r w:rsidR="00F15BF9" w:rsidRPr="00A97DDE">
        <w:rPr>
          <w:rFonts w:ascii="Arial" w:hAnsi="Arial" w:cs="Arial"/>
          <w:noProof/>
        </w:rPr>
        <w:t xml:space="preserve">En estas </w:t>
      </w:r>
      <w:r w:rsidRPr="00A97DDE">
        <w:rPr>
          <w:rFonts w:ascii="Arial" w:hAnsi="Arial" w:cs="Arial"/>
          <w:noProof/>
        </w:rPr>
        <w:t>consulta</w:t>
      </w:r>
      <w:r w:rsidR="00F15BF9" w:rsidRPr="00A97DDE">
        <w:rPr>
          <w:rFonts w:ascii="Arial" w:hAnsi="Arial" w:cs="Arial"/>
          <w:noProof/>
        </w:rPr>
        <w:t>s</w:t>
      </w:r>
      <w:r w:rsidRPr="00A97DDE">
        <w:rPr>
          <w:rFonts w:ascii="Arial" w:hAnsi="Arial" w:cs="Arial"/>
          <w:noProof/>
        </w:rPr>
        <w:t xml:space="preserve"> se le practicará: revisión de posibles síntomas </w:t>
      </w:r>
      <w:r w:rsidR="00F15BF9" w:rsidRPr="00A97DDE">
        <w:rPr>
          <w:rFonts w:ascii="Arial" w:hAnsi="Arial" w:cs="Arial"/>
          <w:noProof/>
        </w:rPr>
        <w:t xml:space="preserve">y signos </w:t>
      </w:r>
      <w:r w:rsidRPr="00A97DDE">
        <w:rPr>
          <w:rFonts w:ascii="Arial" w:hAnsi="Arial" w:cs="Arial"/>
          <w:noProof/>
        </w:rPr>
        <w:t>de su enfermedad, revisión de los fármacos que está tomando y de cualquier molestia que experimente en relación con ellos, exploración física y análisis de sangre y orina.</w:t>
      </w:r>
      <w:r w:rsidR="00A97DDE" w:rsidRPr="00A97DDE">
        <w:t xml:space="preserve"> </w:t>
      </w:r>
      <w:r w:rsidR="00A97DDE" w:rsidRPr="00A97DDE">
        <w:rPr>
          <w:rFonts w:ascii="Arial" w:hAnsi="Arial" w:cs="Arial"/>
          <w:noProof/>
        </w:rPr>
        <w:t xml:space="preserve">Durante su tratamiento con </w:t>
      </w:r>
      <w:r w:rsidR="00E16DDB">
        <w:rPr>
          <w:rFonts w:ascii="Arial" w:hAnsi="Arial" w:cs="Arial"/>
          <w:noProof/>
        </w:rPr>
        <w:t>Cosentyx</w:t>
      </w:r>
      <w:r w:rsidR="00663220" w:rsidRPr="00663220">
        <w:rPr>
          <w:rFonts w:ascii="Arial" w:hAnsi="Arial" w:cs="Arial"/>
          <w:noProof/>
        </w:rPr>
        <w:t>®</w:t>
      </w:r>
      <w:r w:rsidR="00A97DDE" w:rsidRPr="00A97DDE">
        <w:rPr>
          <w:rFonts w:ascii="Arial" w:hAnsi="Arial" w:cs="Arial"/>
          <w:noProof/>
        </w:rPr>
        <w:t xml:space="preserve">, deberá informar a su médico de cualquier medicación que tome, incluso medicación que no necesite prescripción médica. Si durante el tratamiento con </w:t>
      </w:r>
      <w:r w:rsidR="009C3354">
        <w:rPr>
          <w:rFonts w:ascii="Arial" w:hAnsi="Arial" w:cs="Arial"/>
          <w:noProof/>
        </w:rPr>
        <w:t>Cosentyx</w:t>
      </w:r>
      <w:r w:rsidR="00663220" w:rsidRPr="00663220">
        <w:rPr>
          <w:rFonts w:ascii="Arial" w:hAnsi="Arial" w:cs="Arial"/>
          <w:noProof/>
        </w:rPr>
        <w:t>®</w:t>
      </w:r>
      <w:r w:rsidR="00663220">
        <w:rPr>
          <w:rFonts w:ascii="Arial" w:hAnsi="Arial" w:cs="Arial"/>
          <w:noProof/>
        </w:rPr>
        <w:t xml:space="preserve"> </w:t>
      </w:r>
      <w:r w:rsidR="00A97DDE" w:rsidRPr="00A97DDE">
        <w:rPr>
          <w:rFonts w:ascii="Arial" w:hAnsi="Arial" w:cs="Arial"/>
          <w:noProof/>
        </w:rPr>
        <w:t>necesitara recibir alguna vacuna, deberá contactar antes con su médico para decidir conjuntamente la manera de proceder.</w:t>
      </w:r>
    </w:p>
    <w:p w14:paraId="77839F15" w14:textId="77777777" w:rsidR="0015243E" w:rsidRDefault="0015243E" w:rsidP="0015243E">
      <w:pPr>
        <w:ind w:right="253"/>
        <w:jc w:val="both"/>
        <w:rPr>
          <w:rFonts w:ascii="Arial" w:hAnsi="Arial" w:cs="Arial"/>
          <w:b/>
          <w:bCs/>
          <w:noProof/>
        </w:rPr>
      </w:pPr>
    </w:p>
    <w:p w14:paraId="0F7AD487" w14:textId="77777777" w:rsidR="0015243E" w:rsidRDefault="0015243E" w:rsidP="0015243E">
      <w:pPr>
        <w:pStyle w:val="Ttulo2"/>
        <w:jc w:val="both"/>
      </w:pPr>
      <w:r>
        <w:t>¿Qué Riesgos Tiene ?</w:t>
      </w:r>
    </w:p>
    <w:p w14:paraId="76380818" w14:textId="246BAE45" w:rsidR="0015243E" w:rsidRPr="00807C54" w:rsidRDefault="0015243E" w:rsidP="0015243E">
      <w:pPr>
        <w:pStyle w:val="Ttulo3"/>
        <w:numPr>
          <w:ilvl w:val="0"/>
          <w:numId w:val="8"/>
        </w:numPr>
        <w:tabs>
          <w:tab w:val="left" w:pos="284"/>
        </w:tabs>
        <w:ind w:right="253"/>
        <w:jc w:val="both"/>
        <w:rPr>
          <w:b/>
        </w:rPr>
      </w:pPr>
      <w:r>
        <w:rPr>
          <w:b/>
        </w:rPr>
        <w:t xml:space="preserve">Riesgos generales </w:t>
      </w:r>
      <w:r w:rsidR="00442EEF">
        <w:t>Cosentyx</w:t>
      </w:r>
      <w:r>
        <w:rPr>
          <w:rFonts w:cs="Arial"/>
        </w:rPr>
        <w:t>®</w:t>
      </w:r>
      <w:r w:rsidRPr="00807C54">
        <w:rPr>
          <w:bCs/>
        </w:rPr>
        <w:t xml:space="preserve">  puede producir efectos adversos, aunque no todas las personas los sufran. La mayoría son leves a moderados. Sin embargo, algunos pacientes podrían presentar efectos adversos graves y necesitar tratamiento.</w:t>
      </w:r>
      <w:r>
        <w:rPr>
          <w:bCs/>
        </w:rPr>
        <w:t xml:space="preserve"> </w:t>
      </w:r>
      <w:r w:rsidRPr="00807C54">
        <w:rPr>
          <w:bCs/>
        </w:rPr>
        <w:t xml:space="preserve">Se han observado los siguientes </w:t>
      </w:r>
      <w:r>
        <w:rPr>
          <w:bCs/>
        </w:rPr>
        <w:t xml:space="preserve">efectos </w:t>
      </w:r>
      <w:r w:rsidRPr="00807C54">
        <w:rPr>
          <w:bCs/>
        </w:rPr>
        <w:t xml:space="preserve">con </w:t>
      </w:r>
      <w:r w:rsidR="00442EEF">
        <w:t>Cosentyx</w:t>
      </w:r>
      <w:r>
        <w:rPr>
          <w:rFonts w:cs="Arial"/>
        </w:rPr>
        <w:t>®</w:t>
      </w:r>
      <w:r w:rsidRPr="00807C54">
        <w:rPr>
          <w:bCs/>
        </w:rPr>
        <w:t>:</w:t>
      </w:r>
    </w:p>
    <w:p w14:paraId="5E9B84BE" w14:textId="5728FD91" w:rsidR="0015243E" w:rsidRPr="00807C54" w:rsidRDefault="0015243E" w:rsidP="0015243E">
      <w:pPr>
        <w:pStyle w:val="Ttulo3"/>
        <w:tabs>
          <w:tab w:val="left" w:pos="284"/>
        </w:tabs>
        <w:ind w:left="709" w:right="253" w:firstLine="0"/>
        <w:jc w:val="both"/>
        <w:rPr>
          <w:b/>
        </w:rPr>
      </w:pPr>
      <w:r>
        <w:rPr>
          <w:b/>
        </w:rPr>
        <w:t xml:space="preserve">Frecuentes: </w:t>
      </w:r>
      <w:r w:rsidR="006F1CF8">
        <w:rPr>
          <w:bCs/>
        </w:rPr>
        <w:t xml:space="preserve">Infecciones </w:t>
      </w:r>
      <w:r w:rsidRPr="00807C54">
        <w:rPr>
          <w:bCs/>
        </w:rPr>
        <w:t>de las vías respiratorias altas (catarros) y nasofaringitis (inflamación de la nariz y la garganta)</w:t>
      </w:r>
      <w:r>
        <w:rPr>
          <w:bCs/>
        </w:rPr>
        <w:t>,</w:t>
      </w:r>
      <w:r w:rsidRPr="00807C54">
        <w:rPr>
          <w:bCs/>
        </w:rPr>
        <w:t xml:space="preserve"> </w:t>
      </w:r>
      <w:r w:rsidR="0086298C">
        <w:rPr>
          <w:bCs/>
        </w:rPr>
        <w:t>Herpes orales (calenturas), diarrea,</w:t>
      </w:r>
      <w:r w:rsidR="0061766C">
        <w:rPr>
          <w:bCs/>
        </w:rPr>
        <w:t xml:space="preserve"> </w:t>
      </w:r>
      <w:r>
        <w:rPr>
          <w:bCs/>
        </w:rPr>
        <w:t>enrojecimiento o dolor</w:t>
      </w:r>
      <w:r w:rsidRPr="00807C54">
        <w:rPr>
          <w:bCs/>
        </w:rPr>
        <w:t xml:space="preserve"> en el lugar de inyección</w:t>
      </w:r>
      <w:r>
        <w:rPr>
          <w:bCs/>
        </w:rPr>
        <w:t>.</w:t>
      </w:r>
    </w:p>
    <w:p w14:paraId="36C3FA58" w14:textId="5B42EF10" w:rsidR="00073F95" w:rsidRDefault="0015243E" w:rsidP="0015243E">
      <w:pPr>
        <w:pStyle w:val="Ttulo3"/>
        <w:tabs>
          <w:tab w:val="left" w:pos="284"/>
        </w:tabs>
        <w:ind w:left="709" w:right="253" w:firstLine="0"/>
        <w:jc w:val="both"/>
        <w:rPr>
          <w:bCs/>
        </w:rPr>
      </w:pPr>
      <w:r w:rsidRPr="00807C54">
        <w:rPr>
          <w:b/>
        </w:rPr>
        <w:t xml:space="preserve">Poco frecuentes: </w:t>
      </w:r>
      <w:r w:rsidRPr="00807C54">
        <w:rPr>
          <w:bCs/>
        </w:rPr>
        <w:t>C</w:t>
      </w:r>
      <w:r w:rsidR="0061766C">
        <w:rPr>
          <w:bCs/>
        </w:rPr>
        <w:t>andidiasis oral</w:t>
      </w:r>
      <w:r w:rsidR="009C1765">
        <w:rPr>
          <w:bCs/>
        </w:rPr>
        <w:t xml:space="preserve">, </w:t>
      </w:r>
      <w:r w:rsidR="00CC733B">
        <w:rPr>
          <w:bCs/>
        </w:rPr>
        <w:t xml:space="preserve">bajada de </w:t>
      </w:r>
      <w:r w:rsidR="001F711C">
        <w:rPr>
          <w:bCs/>
        </w:rPr>
        <w:t xml:space="preserve">leucocitos (neutropenia) que </w:t>
      </w:r>
      <w:r w:rsidR="009206E5">
        <w:rPr>
          <w:bCs/>
        </w:rPr>
        <w:t>favorece</w:t>
      </w:r>
      <w:r w:rsidR="00091450">
        <w:rPr>
          <w:bCs/>
        </w:rPr>
        <w:t xml:space="preserve">n las infecciones, pie de atleta, </w:t>
      </w:r>
      <w:r w:rsidR="004A7DD0">
        <w:rPr>
          <w:bCs/>
        </w:rPr>
        <w:t>i</w:t>
      </w:r>
      <w:r w:rsidR="00091450">
        <w:rPr>
          <w:bCs/>
        </w:rPr>
        <w:t>nfecciones de oido, conjuntivitis</w:t>
      </w:r>
      <w:r w:rsidR="00073F95">
        <w:rPr>
          <w:bCs/>
        </w:rPr>
        <w:t xml:space="preserve"> y </w:t>
      </w:r>
      <w:r w:rsidRPr="00807C54">
        <w:rPr>
          <w:bCs/>
        </w:rPr>
        <w:t>reacciones de hipersensibilidad (incluyendo exantema, urticaria)</w:t>
      </w:r>
    </w:p>
    <w:p w14:paraId="0F4048F7" w14:textId="5717E17C" w:rsidR="0015243E" w:rsidRPr="00807C54" w:rsidRDefault="00073F95" w:rsidP="0015243E">
      <w:pPr>
        <w:pStyle w:val="Ttulo3"/>
        <w:tabs>
          <w:tab w:val="left" w:pos="284"/>
        </w:tabs>
        <w:ind w:left="709" w:right="253" w:firstLine="0"/>
        <w:jc w:val="both"/>
        <w:rPr>
          <w:bCs/>
        </w:rPr>
      </w:pPr>
      <w:r>
        <w:rPr>
          <w:b/>
        </w:rPr>
        <w:t>Muy infrecuentes:</w:t>
      </w:r>
      <w:r>
        <w:rPr>
          <w:bCs/>
        </w:rPr>
        <w:t xml:space="preserve"> Reacción </w:t>
      </w:r>
      <w:r w:rsidR="00A93398">
        <w:rPr>
          <w:bCs/>
        </w:rPr>
        <w:t xml:space="preserve">alérgica grave (reacción anafiláctica). </w:t>
      </w:r>
    </w:p>
    <w:p w14:paraId="303BDA56" w14:textId="77777777" w:rsidR="0015243E" w:rsidRPr="00807C54" w:rsidRDefault="0015243E" w:rsidP="0015243E">
      <w:pPr>
        <w:pStyle w:val="Ttulo3"/>
        <w:tabs>
          <w:tab w:val="left" w:pos="284"/>
        </w:tabs>
        <w:ind w:left="709" w:right="253" w:firstLine="0"/>
        <w:jc w:val="both"/>
        <w:rPr>
          <w:bCs/>
        </w:rPr>
      </w:pPr>
      <w:r w:rsidRPr="00807C54">
        <w:rPr>
          <w:bCs/>
        </w:rPr>
        <w:t>Si considera que alguno de los efectos adversos que sufre es grave o si aprecia cualquier efecto adverso no mencionado, informe a su médico.</w:t>
      </w:r>
    </w:p>
    <w:p w14:paraId="0333EE56" w14:textId="77777777" w:rsidR="0015243E" w:rsidRPr="000517B1" w:rsidRDefault="0015243E" w:rsidP="0015243E">
      <w:pPr>
        <w:ind w:left="360" w:right="253"/>
        <w:jc w:val="both"/>
        <w:rPr>
          <w:rFonts w:ascii="Arial" w:hAnsi="Arial" w:cs="Arial"/>
          <w:b/>
          <w:bCs/>
          <w:noProof/>
        </w:rPr>
      </w:pPr>
    </w:p>
    <w:p w14:paraId="7A4B0B97" w14:textId="77777777" w:rsidR="000517B1" w:rsidRDefault="000517B1" w:rsidP="00220CD7">
      <w:pPr>
        <w:ind w:right="253"/>
        <w:jc w:val="both"/>
        <w:rPr>
          <w:rFonts w:ascii="Arial" w:hAnsi="Arial" w:cs="Arial"/>
          <w:b/>
          <w:bCs/>
          <w:noProof/>
        </w:rPr>
      </w:pPr>
    </w:p>
    <w:p w14:paraId="2C08A276" w14:textId="5D2BF592" w:rsidR="000517B1" w:rsidRPr="00807C54" w:rsidRDefault="000517B1" w:rsidP="00663220">
      <w:pPr>
        <w:pStyle w:val="Ttulo3"/>
        <w:numPr>
          <w:ilvl w:val="0"/>
          <w:numId w:val="8"/>
        </w:numPr>
        <w:tabs>
          <w:tab w:val="left" w:pos="284"/>
        </w:tabs>
        <w:ind w:right="253"/>
        <w:jc w:val="both"/>
        <w:rPr>
          <w:b/>
        </w:rPr>
      </w:pPr>
      <w:r w:rsidRPr="00807C54">
        <w:rPr>
          <w:b/>
        </w:rPr>
        <w:lastRenderedPageBreak/>
        <w:t xml:space="preserve">No </w:t>
      </w:r>
      <w:r w:rsidRPr="00663220">
        <w:rPr>
          <w:b/>
        </w:rPr>
        <w:t xml:space="preserve">use </w:t>
      </w:r>
      <w:r w:rsidR="00BF075F">
        <w:rPr>
          <w:b/>
        </w:rPr>
        <w:t>C</w:t>
      </w:r>
      <w:r w:rsidR="00997BB1">
        <w:rPr>
          <w:b/>
        </w:rPr>
        <w:t>osentyx</w:t>
      </w:r>
      <w:r w:rsidR="00663220" w:rsidRPr="00663220">
        <w:rPr>
          <w:rFonts w:cs="Arial"/>
          <w:b/>
        </w:rPr>
        <w:t>®</w:t>
      </w:r>
      <w:r w:rsidRPr="00807C54">
        <w:rPr>
          <w:b/>
        </w:rPr>
        <w:t xml:space="preserve"> </w:t>
      </w:r>
    </w:p>
    <w:p w14:paraId="624D43FC" w14:textId="03CD26EE" w:rsidR="000517B1" w:rsidRPr="00807C54" w:rsidRDefault="000517B1" w:rsidP="00663220">
      <w:pPr>
        <w:pStyle w:val="Ttulo3"/>
        <w:numPr>
          <w:ilvl w:val="1"/>
          <w:numId w:val="8"/>
        </w:numPr>
        <w:tabs>
          <w:tab w:val="left" w:pos="284"/>
        </w:tabs>
        <w:ind w:right="253"/>
        <w:jc w:val="both"/>
        <w:rPr>
          <w:bCs/>
        </w:rPr>
      </w:pPr>
      <w:r w:rsidRPr="00807C54">
        <w:rPr>
          <w:bCs/>
        </w:rPr>
        <w:t xml:space="preserve">Si es alérgico (hipersensible) a </w:t>
      </w:r>
      <w:r w:rsidR="00997BB1">
        <w:t>Cosentyx</w:t>
      </w:r>
      <w:r w:rsidR="00663220">
        <w:rPr>
          <w:rFonts w:cs="Arial"/>
        </w:rPr>
        <w:t>®</w:t>
      </w:r>
      <w:r w:rsidRPr="00807C54">
        <w:rPr>
          <w:bCs/>
        </w:rPr>
        <w:t xml:space="preserve"> o a cualquiera de los demás componentes de </w:t>
      </w:r>
      <w:r w:rsidR="00997BB1">
        <w:t>Cosentyx</w:t>
      </w:r>
      <w:r w:rsidR="00663220">
        <w:rPr>
          <w:rFonts w:cs="Arial"/>
        </w:rPr>
        <w:t>®</w:t>
      </w:r>
      <w:r w:rsidRPr="00807C54">
        <w:rPr>
          <w:bCs/>
        </w:rPr>
        <w:t>.</w:t>
      </w:r>
    </w:p>
    <w:p w14:paraId="49360073" w14:textId="77777777" w:rsidR="000517B1" w:rsidRPr="00807C54" w:rsidRDefault="000517B1" w:rsidP="00220CD7">
      <w:pPr>
        <w:pStyle w:val="Ttulo3"/>
        <w:numPr>
          <w:ilvl w:val="1"/>
          <w:numId w:val="8"/>
        </w:numPr>
        <w:tabs>
          <w:tab w:val="left" w:pos="284"/>
        </w:tabs>
        <w:ind w:right="253"/>
        <w:jc w:val="both"/>
        <w:rPr>
          <w:bCs/>
        </w:rPr>
      </w:pPr>
      <w:r w:rsidRPr="00807C54">
        <w:rPr>
          <w:bCs/>
        </w:rPr>
        <w:t>Si tiene una infección activa que su médico considere importante.</w:t>
      </w:r>
    </w:p>
    <w:p w14:paraId="37BC16D1" w14:textId="2AE7E64C" w:rsidR="000517B1" w:rsidRPr="00807C54" w:rsidRDefault="000517B1" w:rsidP="00663220">
      <w:pPr>
        <w:pStyle w:val="Ttulo3"/>
        <w:numPr>
          <w:ilvl w:val="1"/>
          <w:numId w:val="8"/>
        </w:numPr>
        <w:tabs>
          <w:tab w:val="left" w:pos="284"/>
        </w:tabs>
        <w:ind w:right="253"/>
        <w:jc w:val="both"/>
        <w:rPr>
          <w:bCs/>
        </w:rPr>
      </w:pPr>
      <w:r w:rsidRPr="00807C54">
        <w:rPr>
          <w:bCs/>
        </w:rPr>
        <w:t xml:space="preserve">Los inmunosupresores del tipo de </w:t>
      </w:r>
      <w:r w:rsidR="00997BB1">
        <w:t>Consentyx</w:t>
      </w:r>
      <w:r w:rsidR="00663220">
        <w:rPr>
          <w:rFonts w:cs="Arial"/>
        </w:rPr>
        <w:t xml:space="preserve">® </w:t>
      </w:r>
      <w:r w:rsidRPr="00807C54">
        <w:rPr>
          <w:bCs/>
        </w:rPr>
        <w:t xml:space="preserve">reducen la actividad del sistema inmunitario. Esto puede aumentar el riesgo de tumores malignos. </w:t>
      </w:r>
    </w:p>
    <w:p w14:paraId="45C41E00" w14:textId="3CD7A5AD" w:rsidR="000517B1" w:rsidRPr="00807C54" w:rsidRDefault="000517B1" w:rsidP="00663220">
      <w:pPr>
        <w:pStyle w:val="Ttulo3"/>
        <w:numPr>
          <w:ilvl w:val="0"/>
          <w:numId w:val="8"/>
        </w:numPr>
        <w:tabs>
          <w:tab w:val="left" w:pos="284"/>
        </w:tabs>
        <w:ind w:right="253"/>
        <w:jc w:val="both"/>
        <w:rPr>
          <w:bCs/>
        </w:rPr>
      </w:pPr>
      <w:r w:rsidRPr="00807C54">
        <w:rPr>
          <w:b/>
        </w:rPr>
        <w:t xml:space="preserve">Embarazo y lactancia: </w:t>
      </w:r>
      <w:r w:rsidRPr="00807C54">
        <w:rPr>
          <w:bCs/>
        </w:rPr>
        <w:t xml:space="preserve">No se conocen los efectos de este medicamento en mujeres embarazadas. Si es una mujer en edad fértil, se le recomienda que evite quedarse embarazada y use medidas anticonceptivas adecuadas mientras esté utilizando </w:t>
      </w:r>
      <w:r w:rsidR="00997BB1">
        <w:t>Consentyx</w:t>
      </w:r>
      <w:r w:rsidR="00663220">
        <w:rPr>
          <w:rFonts w:cs="Arial"/>
        </w:rPr>
        <w:t>®</w:t>
      </w:r>
      <w:r w:rsidRPr="00807C54">
        <w:rPr>
          <w:bCs/>
        </w:rPr>
        <w:t xml:space="preserve"> y durante al menos 15 semanas tras el último tratamiento con </w:t>
      </w:r>
      <w:r w:rsidR="00C919C2">
        <w:t>Consentyx</w:t>
      </w:r>
      <w:r w:rsidR="00663220">
        <w:rPr>
          <w:rFonts w:cs="Arial"/>
        </w:rPr>
        <w:t>®</w:t>
      </w:r>
      <w:r w:rsidRPr="00807C54">
        <w:rPr>
          <w:bCs/>
        </w:rPr>
        <w:t xml:space="preserve">. Si está dando el pecho o tiene previsto hacerlo mientras usa </w:t>
      </w:r>
      <w:r w:rsidR="00A25EDD">
        <w:t>Cosentyx</w:t>
      </w:r>
      <w:r w:rsidR="00663220">
        <w:rPr>
          <w:rFonts w:cs="Arial"/>
        </w:rPr>
        <w:t>®</w:t>
      </w:r>
      <w:r w:rsidRPr="00807C54">
        <w:rPr>
          <w:bCs/>
        </w:rPr>
        <w:t>, su médico decidirá si debe utilizar este medicamento.</w:t>
      </w:r>
      <w:r w:rsidRPr="00807C54">
        <w:rPr>
          <w:b/>
        </w:rPr>
        <w:t xml:space="preserve"> </w:t>
      </w:r>
    </w:p>
    <w:p w14:paraId="0FBFCA2F" w14:textId="77777777" w:rsidR="000517B1" w:rsidRDefault="000517B1" w:rsidP="00220CD7">
      <w:pPr>
        <w:pStyle w:val="Ttulo3"/>
        <w:numPr>
          <w:ilvl w:val="0"/>
          <w:numId w:val="8"/>
        </w:numPr>
        <w:spacing w:before="120"/>
        <w:ind w:right="253"/>
        <w:jc w:val="both"/>
      </w:pPr>
      <w:r>
        <w:rPr>
          <w:b/>
        </w:rPr>
        <w:t>Riesgos personalizados o profesionales:</w:t>
      </w:r>
    </w:p>
    <w:p w14:paraId="4BBC1AEE" w14:textId="77777777" w:rsidR="00C7313E" w:rsidRDefault="000517B1" w:rsidP="00252AFA">
      <w:pPr>
        <w:pStyle w:val="Ttulo3"/>
        <w:spacing w:before="120"/>
        <w:ind w:left="720" w:right="253" w:firstLine="0"/>
        <w:jc w:val="both"/>
      </w:pPr>
      <w:r>
        <w:t>Además de los riesgos anteriormente citados por la/s enfermedad/es que padece puede presentar otras complicaciones………………………………………………………………………………………………………………………………...................................................................................................................................................</w:t>
      </w:r>
    </w:p>
    <w:p w14:paraId="0A61FC99" w14:textId="77777777" w:rsidR="0015243E" w:rsidRDefault="0015243E" w:rsidP="0015243E">
      <w:pPr>
        <w:pStyle w:val="Ttulo2"/>
        <w:spacing w:after="120"/>
        <w:ind w:firstLine="709"/>
        <w:jc w:val="left"/>
      </w:pPr>
      <w:r>
        <w:t xml:space="preserve">                                                           ¿Qué otras alternativas hay?</w:t>
      </w:r>
    </w:p>
    <w:p w14:paraId="6C242EC7" w14:textId="07A25ECC" w:rsidR="0015243E" w:rsidRDefault="0015243E" w:rsidP="0015243E">
      <w:pPr>
        <w:ind w:left="709" w:right="111"/>
        <w:jc w:val="both"/>
        <w:rPr>
          <w:rFonts w:ascii="Arial" w:hAnsi="Arial"/>
          <w:noProof/>
        </w:rPr>
      </w:pPr>
      <w:r>
        <w:rPr>
          <w:rFonts w:ascii="Arial" w:hAnsi="Arial"/>
          <w:noProof/>
        </w:rPr>
        <w:t xml:space="preserve">Su enfermedad puede tratarse con otros fármacos biológicos que actuan de forma diferente a </w:t>
      </w:r>
      <w:r w:rsidR="00A25EDD">
        <w:rPr>
          <w:rFonts w:ascii="Arial" w:hAnsi="Arial"/>
          <w:noProof/>
        </w:rPr>
        <w:t>Cosentyx</w:t>
      </w:r>
      <w:r>
        <w:rPr>
          <w:rFonts w:ascii="Arial" w:hAnsi="Arial" w:cs="Arial"/>
        </w:rPr>
        <w:t>®</w:t>
      </w:r>
      <w:r>
        <w:rPr>
          <w:rFonts w:ascii="Arial" w:hAnsi="Arial"/>
          <w:noProof/>
        </w:rPr>
        <w:t xml:space="preserve"> o con otros tratamientos modificadores de la enfermedad existentes. Se ofrece este tratamiento por pensar que es el más idoneo en este momento de su enfermedad.</w:t>
      </w:r>
    </w:p>
    <w:p w14:paraId="43238726" w14:textId="77777777" w:rsidR="0015243E" w:rsidRPr="0015243E" w:rsidRDefault="0015243E" w:rsidP="0015243E"/>
    <w:p w14:paraId="45048436" w14:textId="77777777" w:rsidR="00252AFA" w:rsidRPr="00261D54" w:rsidRDefault="00FB64D9" w:rsidP="00E52ABE">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sidRPr="00261D54">
        <w:rPr>
          <w:rFonts w:ascii="Arial" w:hAnsi="Arial" w:cs="Arial"/>
          <w:color w:val="365F91"/>
        </w:rPr>
        <w:t>Esta hoja informativa ha sido preparada por la SER para facilitar la comprensión del público. No se trata de una interpretación oficial de las Recomendaciones de la SER ni de las posiciones de sus asociados.</w:t>
      </w:r>
      <w:r w:rsidR="00252AFA">
        <w:rPr>
          <w:rFonts w:ascii="Arial" w:hAnsi="Arial" w:cs="Arial"/>
          <w:color w:val="365F91"/>
        </w:rPr>
        <w:t xml:space="preserve"> </w:t>
      </w:r>
      <w:r w:rsidRPr="00261D54">
        <w:rPr>
          <w:rFonts w:ascii="Arial" w:hAnsi="Arial" w:cs="Arial"/>
          <w:color w:val="365F91"/>
        </w:rPr>
        <w:t xml:space="preserve">Hemos brindado la información más actualizada disponible al momento de la impresión. Es posible que desde entonces haya surgido más información sobre </w:t>
      </w:r>
      <w:r w:rsidR="00E52ABE">
        <w:rPr>
          <w:rFonts w:ascii="Arial" w:hAnsi="Arial" w:cs="Arial"/>
          <w:color w:val="365F91"/>
        </w:rPr>
        <w:t>este medicamento</w:t>
      </w:r>
      <w:r w:rsidRPr="00261D54">
        <w:rPr>
          <w:rFonts w:ascii="Arial" w:hAnsi="Arial" w:cs="Arial"/>
          <w:color w:val="365F91"/>
        </w:rPr>
        <w:t>.</w:t>
      </w:r>
    </w:p>
    <w:p w14:paraId="5950E96D" w14:textId="77777777" w:rsidR="00FB64D9" w:rsidRPr="00261D54" w:rsidRDefault="00FB64D9" w:rsidP="00E52ABE">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sidRPr="00261D54">
        <w:rPr>
          <w:rFonts w:ascii="Arial" w:hAnsi="Arial" w:cs="Arial"/>
          <w:color w:val="365F91"/>
        </w:rPr>
        <w:t xml:space="preserve">Para obtener la información más actualizada o para </w:t>
      </w:r>
      <w:r w:rsidR="00E52ABE">
        <w:rPr>
          <w:rFonts w:ascii="Arial" w:hAnsi="Arial" w:cs="Arial"/>
          <w:color w:val="365F91"/>
        </w:rPr>
        <w:t>clarificar dudas</w:t>
      </w:r>
      <w:r w:rsidRPr="00261D54">
        <w:rPr>
          <w:rFonts w:ascii="Arial" w:hAnsi="Arial" w:cs="Arial"/>
          <w:color w:val="365F91"/>
        </w:rPr>
        <w:t xml:space="preserve"> sobre cualquiera de los medicamentos que está tomando, recomendamos consultar con su médico.</w:t>
      </w:r>
    </w:p>
    <w:p w14:paraId="1017E453" w14:textId="77777777" w:rsidR="00252AFA" w:rsidRDefault="00252AFA" w:rsidP="00A23722">
      <w:pPr>
        <w:jc w:val="center"/>
        <w:rPr>
          <w:b/>
          <w:szCs w:val="18"/>
        </w:rPr>
      </w:pPr>
    </w:p>
    <w:p w14:paraId="7F9F02F0" w14:textId="77777777" w:rsidR="00A23722" w:rsidRPr="00252AFA" w:rsidRDefault="00A23722" w:rsidP="00A23722">
      <w:pPr>
        <w:jc w:val="center"/>
        <w:rPr>
          <w:rFonts w:ascii="Arial" w:hAnsi="Arial" w:cs="Arial"/>
          <w:b/>
          <w:szCs w:val="18"/>
        </w:rPr>
      </w:pPr>
      <w:r w:rsidRPr="00252AFA">
        <w:rPr>
          <w:rFonts w:ascii="Arial" w:hAnsi="Arial" w:cs="Arial"/>
          <w:b/>
          <w:szCs w:val="18"/>
        </w:rPr>
        <w:t>Declaraciones y Firmas</w:t>
      </w:r>
    </w:p>
    <w:p w14:paraId="1240B9A3" w14:textId="493D93EE" w:rsidR="00A23722" w:rsidRPr="00252AFA" w:rsidRDefault="00F34895" w:rsidP="00A23722">
      <w:pPr>
        <w:jc w:val="both"/>
        <w:rPr>
          <w:rFonts w:ascii="Arial" w:hAnsi="Arial" w:cs="Arial"/>
          <w:sz w:val="18"/>
          <w:szCs w:val="18"/>
        </w:rPr>
      </w:pPr>
      <w:r w:rsidRPr="00252AFA">
        <w:rPr>
          <w:rFonts w:ascii="Arial" w:hAnsi="Arial" w:cs="Arial"/>
          <w:noProof/>
          <w:lang w:val="es-ES_tradnl" w:eastAsia="es-ES_tradnl"/>
        </w:rPr>
        <mc:AlternateContent>
          <mc:Choice Requires="wps">
            <w:drawing>
              <wp:anchor distT="0" distB="0" distL="114300" distR="114300" simplePos="0" relativeHeight="251657728" behindDoc="0" locked="0" layoutInCell="1" allowOverlap="1" wp14:anchorId="3A18B46A" wp14:editId="6C3AF7A2">
                <wp:simplePos x="0" y="0"/>
                <wp:positionH relativeFrom="column">
                  <wp:posOffset>448945</wp:posOffset>
                </wp:positionH>
                <wp:positionV relativeFrom="paragraph">
                  <wp:posOffset>93345</wp:posOffset>
                </wp:positionV>
                <wp:extent cx="6057900" cy="3543300"/>
                <wp:effectExtent l="0" t="0" r="38100" b="38100"/>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35433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0EEC6" w14:textId="77777777" w:rsidR="00A25EDD" w:rsidRDefault="00A25EDD" w:rsidP="00A25E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B46A" id="Rectangle_x0020_5" o:spid="_x0000_s1026" style="position:absolute;left:0;text-align:left;margin-left:35.35pt;margin-top:7.35pt;width:477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" filled="f" strokeweight="2pt">
                <v:textbox>
                  <w:txbxContent>
                    <w:p w14:paraId="1120EEC6" w14:textId="77777777" w:rsidR="00A25EDD" w:rsidRDefault="00A25EDD" w:rsidP="00A25EDD">
                      <w:pPr>
                        <w:jc w:val="center"/>
                      </w:pPr>
                    </w:p>
                  </w:txbxContent>
                </v:textbox>
              </v:rect>
            </w:pict>
          </mc:Fallback>
        </mc:AlternateContent>
      </w:r>
    </w:p>
    <w:p w14:paraId="581E4CD9" w14:textId="4B6491D2" w:rsidR="00A23722" w:rsidRPr="00252AFA" w:rsidRDefault="00A23722" w:rsidP="00663220">
      <w:pPr>
        <w:ind w:left="851" w:right="678"/>
        <w:jc w:val="both"/>
        <w:rPr>
          <w:rFonts w:ascii="Arial" w:hAnsi="Arial" w:cs="Arial"/>
          <w:sz w:val="18"/>
          <w:szCs w:val="18"/>
        </w:rPr>
      </w:pPr>
      <w:r w:rsidRPr="00252AFA">
        <w:rPr>
          <w:rFonts w:ascii="Arial" w:hAnsi="Arial" w:cs="Arial"/>
          <w:sz w:val="18"/>
          <w:szCs w:val="18"/>
        </w:rPr>
        <w:t xml:space="preserve">Su médico ha considerado que </w:t>
      </w:r>
      <w:r w:rsidR="00645261">
        <w:rPr>
          <w:rFonts w:ascii="Arial" w:hAnsi="Arial" w:cs="Arial"/>
          <w:sz w:val="18"/>
          <w:szCs w:val="18"/>
        </w:rPr>
        <w:t>Cosentyx</w:t>
      </w:r>
      <w:r w:rsidR="00663220" w:rsidRPr="00663220">
        <w:rPr>
          <w:rFonts w:ascii="Arial" w:hAnsi="Arial" w:cs="Arial"/>
          <w:sz w:val="18"/>
          <w:szCs w:val="18"/>
        </w:rPr>
        <w:t>®</w:t>
      </w:r>
      <w:r w:rsidRPr="00252AFA">
        <w:rPr>
          <w:rFonts w:ascii="Arial" w:hAnsi="Arial" w:cs="Arial"/>
          <w:sz w:val="18"/>
          <w:szCs w:val="18"/>
        </w:rPr>
        <w:t xml:space="preserve"> es el tratamiento más adecuado e idóneo en este momento</w:t>
      </w:r>
      <w:r w:rsidR="00252AFA">
        <w:rPr>
          <w:rFonts w:ascii="Arial" w:hAnsi="Arial" w:cs="Arial"/>
          <w:sz w:val="18"/>
          <w:szCs w:val="18"/>
        </w:rPr>
        <w:t xml:space="preserve"> para su enfermedad. </w:t>
      </w:r>
    </w:p>
    <w:p w14:paraId="1D77083C" w14:textId="49DB2AA6" w:rsidR="00A23722" w:rsidRPr="00252AFA" w:rsidRDefault="00A23722" w:rsidP="00663220">
      <w:pPr>
        <w:ind w:left="851" w:right="678"/>
        <w:jc w:val="both"/>
        <w:rPr>
          <w:rFonts w:ascii="Arial" w:hAnsi="Arial" w:cs="Arial"/>
          <w:sz w:val="18"/>
          <w:szCs w:val="18"/>
        </w:rPr>
      </w:pPr>
      <w:r w:rsidRPr="00252AFA">
        <w:rPr>
          <w:rFonts w:ascii="Arial" w:hAnsi="Arial" w:cs="Arial"/>
          <w:sz w:val="18"/>
          <w:szCs w:val="18"/>
        </w:rPr>
        <w:t xml:space="preserve">He comprendido perfectamente el objetivo y las explicaciones del tratamiento con </w:t>
      </w:r>
      <w:r w:rsidR="00645261">
        <w:rPr>
          <w:rFonts w:ascii="Arial" w:hAnsi="Arial" w:cs="Arial"/>
          <w:sz w:val="18"/>
          <w:szCs w:val="18"/>
        </w:rPr>
        <w:t>Cosentyx</w:t>
      </w:r>
      <w:r w:rsidR="00663220" w:rsidRPr="00663220">
        <w:rPr>
          <w:rFonts w:ascii="Arial" w:hAnsi="Arial" w:cs="Arial"/>
          <w:sz w:val="18"/>
          <w:szCs w:val="18"/>
        </w:rPr>
        <w:t>®</w:t>
      </w:r>
      <w:r w:rsidRPr="00252AFA">
        <w:rPr>
          <w:rFonts w:ascii="Arial" w:hAnsi="Arial" w:cs="Arial"/>
          <w:sz w:val="18"/>
          <w:szCs w:val="18"/>
        </w:rPr>
        <w:t xml:space="preserve"> y he sido informado por el Dr. _____________________________________________________. He leído y comprendido la Hoja de Información al Paciente, y he sido informado sobre los beneficios y posibles efectos adversos. También he comprendido que puede haber otros riesgos que aún no se conocen.</w:t>
      </w:r>
    </w:p>
    <w:p w14:paraId="7A83B2BF" w14:textId="015F65CC" w:rsidR="00A23722" w:rsidRPr="00252AFA" w:rsidRDefault="00A23722" w:rsidP="00E52ABE">
      <w:pPr>
        <w:ind w:left="851" w:right="678"/>
        <w:jc w:val="both"/>
        <w:rPr>
          <w:rFonts w:ascii="Arial" w:hAnsi="Arial" w:cs="Arial"/>
          <w:sz w:val="18"/>
          <w:szCs w:val="18"/>
        </w:rPr>
      </w:pPr>
      <w:r w:rsidRPr="00252AFA">
        <w:rPr>
          <w:rFonts w:ascii="Arial" w:hAnsi="Arial" w:cs="Arial"/>
          <w:sz w:val="18"/>
          <w:szCs w:val="18"/>
        </w:rPr>
        <w:t xml:space="preserve">He tenido la oportunidad de realizar preguntas y de considerar las respuestas dadas. He comprendido que mi aceptación a ser tratado con </w:t>
      </w:r>
      <w:r w:rsidR="00645261">
        <w:rPr>
          <w:rFonts w:ascii="Arial" w:hAnsi="Arial" w:cs="Arial"/>
          <w:sz w:val="18"/>
          <w:szCs w:val="18"/>
        </w:rPr>
        <w:t>Cosentyx</w:t>
      </w:r>
      <w:r w:rsidR="00663220" w:rsidRPr="00663220">
        <w:rPr>
          <w:rFonts w:ascii="Arial" w:hAnsi="Arial" w:cs="Arial"/>
          <w:sz w:val="18"/>
          <w:szCs w:val="18"/>
        </w:rPr>
        <w:t>®</w:t>
      </w:r>
      <w:r w:rsidRPr="00252AFA">
        <w:rPr>
          <w:rFonts w:ascii="Arial" w:hAnsi="Arial" w:cs="Arial"/>
          <w:sz w:val="18"/>
          <w:szCs w:val="18"/>
        </w:rPr>
        <w:t xml:space="preserve"> es voluntaria y que podré discontinuar el tratamiento cuando lo considere adecuado, y que si lo hago, mi futura atención médica que recibiré no se verá afectada.</w:t>
      </w:r>
      <w:r w:rsidR="00E52ABE">
        <w:rPr>
          <w:rFonts w:ascii="Arial" w:hAnsi="Arial" w:cs="Arial"/>
          <w:sz w:val="18"/>
          <w:szCs w:val="18"/>
        </w:rPr>
        <w:t xml:space="preserve"> E</w:t>
      </w:r>
      <w:r w:rsidRPr="00252AFA">
        <w:rPr>
          <w:rFonts w:ascii="Arial" w:hAnsi="Arial" w:cs="Arial"/>
          <w:sz w:val="18"/>
          <w:szCs w:val="18"/>
        </w:rPr>
        <w:t>stoy de acuerdo en que el material gráfico, biológico, historia clínica y demás información relativa a mi enfermedad pueda ser utilizada con fines científicos y docentes.</w:t>
      </w:r>
    </w:p>
    <w:p w14:paraId="296D3822" w14:textId="77777777" w:rsidR="00E52ABE" w:rsidRPr="00252AFA" w:rsidDel="00451A99" w:rsidRDefault="00E52ABE" w:rsidP="00E52ABE">
      <w:pPr>
        <w:ind w:left="851" w:right="678"/>
        <w:jc w:val="both"/>
        <w:rPr>
          <w:rFonts w:ascii="Arial" w:hAnsi="Arial" w:cs="Arial"/>
          <w:sz w:val="18"/>
          <w:szCs w:val="18"/>
        </w:rPr>
      </w:pPr>
      <w:r w:rsidRPr="00252AFA">
        <w:rPr>
          <w:rFonts w:ascii="Arial" w:hAnsi="Arial" w:cs="Arial"/>
          <w:sz w:val="18"/>
          <w:szCs w:val="18"/>
        </w:rPr>
        <w:t xml:space="preserve">SÍ </w:t>
      </w:r>
      <w:r w:rsidRPr="00252AFA">
        <w:rPr>
          <w:rFonts w:ascii="Arial" w:hAnsi="Arial" w:cs="Arial"/>
          <w:sz w:val="36"/>
          <w:szCs w:val="36"/>
        </w:rPr>
        <w:sym w:font="Symbol" w:char="F080"/>
      </w:r>
      <w:r w:rsidRPr="00252AFA">
        <w:rPr>
          <w:rFonts w:ascii="Arial" w:hAnsi="Arial" w:cs="Arial"/>
          <w:sz w:val="18"/>
          <w:szCs w:val="18"/>
        </w:rPr>
        <w:t xml:space="preserve">NO </w:t>
      </w:r>
      <w:r w:rsidRPr="00252AFA">
        <w:rPr>
          <w:rFonts w:ascii="Arial" w:hAnsi="Arial" w:cs="Arial"/>
          <w:sz w:val="36"/>
          <w:szCs w:val="36"/>
        </w:rPr>
        <w:sym w:font="Symbol" w:char="F080"/>
      </w:r>
    </w:p>
    <w:p w14:paraId="5E0F35CF" w14:textId="77777777" w:rsidR="00A23722" w:rsidRPr="00252AFA" w:rsidRDefault="00A23722" w:rsidP="00252AFA">
      <w:pPr>
        <w:ind w:left="851" w:right="678"/>
        <w:jc w:val="both"/>
        <w:rPr>
          <w:rFonts w:ascii="Arial" w:hAnsi="Arial" w:cs="Arial"/>
          <w:b/>
          <w:bCs/>
          <w:sz w:val="18"/>
          <w:szCs w:val="18"/>
        </w:rPr>
      </w:pPr>
    </w:p>
    <w:p w14:paraId="08902EA7" w14:textId="77777777" w:rsidR="00A23722" w:rsidRPr="00252AFA" w:rsidRDefault="00A23722" w:rsidP="00252AFA">
      <w:pPr>
        <w:ind w:left="851" w:right="678"/>
        <w:jc w:val="both"/>
        <w:rPr>
          <w:rFonts w:ascii="Arial" w:hAnsi="Arial" w:cs="Arial"/>
          <w:sz w:val="18"/>
          <w:szCs w:val="18"/>
        </w:rPr>
      </w:pPr>
      <w:r w:rsidRPr="00252AFA">
        <w:rPr>
          <w:rFonts w:ascii="Arial" w:hAnsi="Arial" w:cs="Arial"/>
          <w:sz w:val="18"/>
          <w:szCs w:val="18"/>
        </w:rPr>
        <w:t>Nombre del médico: _____________________________________________________</w:t>
      </w:r>
      <w:r w:rsidR="00252AFA" w:rsidRPr="00252AFA">
        <w:rPr>
          <w:rFonts w:ascii="Arial" w:hAnsi="Arial" w:cs="Arial"/>
          <w:sz w:val="18"/>
          <w:szCs w:val="18"/>
        </w:rPr>
        <w:t xml:space="preserve"> </w:t>
      </w:r>
    </w:p>
    <w:p w14:paraId="1E5A7817" w14:textId="77777777" w:rsidR="00A23722" w:rsidRPr="00252AFA" w:rsidRDefault="00A23722" w:rsidP="00252AFA">
      <w:pPr>
        <w:ind w:left="851" w:right="678"/>
        <w:jc w:val="both"/>
        <w:rPr>
          <w:rFonts w:ascii="Arial" w:hAnsi="Arial" w:cs="Arial"/>
          <w:sz w:val="18"/>
          <w:szCs w:val="18"/>
        </w:rPr>
      </w:pPr>
    </w:p>
    <w:p w14:paraId="0FBDBF68" w14:textId="77777777" w:rsidR="00A23722" w:rsidRPr="00252AFA" w:rsidRDefault="00A23722" w:rsidP="00252AFA">
      <w:pPr>
        <w:ind w:left="851" w:right="678"/>
        <w:jc w:val="both"/>
        <w:rPr>
          <w:rFonts w:ascii="Arial" w:hAnsi="Arial" w:cs="Arial"/>
          <w:sz w:val="18"/>
          <w:szCs w:val="18"/>
        </w:rPr>
      </w:pPr>
      <w:r w:rsidRPr="00252AFA">
        <w:rPr>
          <w:rFonts w:ascii="Arial" w:hAnsi="Arial" w:cs="Arial"/>
        </w:rPr>
        <w:t>Fir</w:t>
      </w:r>
      <w:r w:rsidR="00252AFA" w:rsidRPr="00252AFA">
        <w:rPr>
          <w:rFonts w:ascii="Arial" w:hAnsi="Arial" w:cs="Arial"/>
        </w:rPr>
        <w:t>ma</w:t>
      </w:r>
      <w:r w:rsidRPr="00252AFA">
        <w:rPr>
          <w:rFonts w:ascii="Arial" w:hAnsi="Arial" w:cs="Arial"/>
        </w:rPr>
        <w:t>_________________________________</w:t>
      </w:r>
      <w:r w:rsidR="00252AFA" w:rsidRPr="00252AFA">
        <w:rPr>
          <w:rFonts w:ascii="Arial" w:hAnsi="Arial" w:cs="Arial"/>
        </w:rPr>
        <w:t>_______________</w:t>
      </w:r>
      <w:r w:rsidRPr="00252AFA">
        <w:rPr>
          <w:rFonts w:ascii="Arial" w:hAnsi="Arial" w:cs="Arial"/>
        </w:rPr>
        <w:t xml:space="preserve">  Fecha: </w:t>
      </w:r>
    </w:p>
    <w:p w14:paraId="7D64C355" w14:textId="77777777" w:rsidR="00A23722" w:rsidRPr="00252AFA" w:rsidRDefault="00A23722" w:rsidP="00252AFA">
      <w:pPr>
        <w:ind w:left="851" w:right="678"/>
        <w:jc w:val="both"/>
        <w:rPr>
          <w:rFonts w:ascii="Arial" w:hAnsi="Arial" w:cs="Arial"/>
          <w:sz w:val="18"/>
          <w:szCs w:val="18"/>
        </w:rPr>
      </w:pPr>
    </w:p>
    <w:p w14:paraId="1DA689D2" w14:textId="77777777" w:rsidR="0038347B" w:rsidRDefault="0038347B" w:rsidP="00252AFA">
      <w:pPr>
        <w:ind w:left="851" w:right="678"/>
        <w:jc w:val="both"/>
        <w:rPr>
          <w:rFonts w:ascii="Arial" w:hAnsi="Arial" w:cs="Arial"/>
          <w:sz w:val="18"/>
          <w:szCs w:val="18"/>
        </w:rPr>
      </w:pPr>
    </w:p>
    <w:p w14:paraId="1901ED2C" w14:textId="77777777" w:rsidR="00A23722" w:rsidRPr="00252AFA" w:rsidRDefault="00A23722" w:rsidP="00252AFA">
      <w:pPr>
        <w:ind w:left="851" w:right="678"/>
        <w:jc w:val="both"/>
        <w:rPr>
          <w:rFonts w:ascii="Arial" w:hAnsi="Arial" w:cs="Arial"/>
          <w:sz w:val="18"/>
          <w:szCs w:val="18"/>
        </w:rPr>
      </w:pPr>
      <w:r w:rsidRPr="00252AFA">
        <w:rPr>
          <w:rFonts w:ascii="Arial" w:hAnsi="Arial" w:cs="Arial"/>
          <w:sz w:val="18"/>
          <w:szCs w:val="18"/>
        </w:rPr>
        <w:t>Nombre del paciente (o testigo) *: ___________________________</w:t>
      </w:r>
      <w:r w:rsidR="00252AFA" w:rsidRPr="00252AFA">
        <w:rPr>
          <w:rFonts w:ascii="Arial" w:hAnsi="Arial" w:cs="Arial"/>
          <w:sz w:val="18"/>
          <w:szCs w:val="18"/>
        </w:rPr>
        <w:t xml:space="preserve">_______________  </w:t>
      </w:r>
    </w:p>
    <w:p w14:paraId="79F46714" w14:textId="77777777" w:rsidR="00A23722" w:rsidRPr="00252AFA" w:rsidRDefault="00A23722" w:rsidP="00252AFA">
      <w:pPr>
        <w:ind w:left="851" w:right="678"/>
        <w:jc w:val="both"/>
        <w:rPr>
          <w:rFonts w:ascii="Arial" w:hAnsi="Arial" w:cs="Arial"/>
          <w:sz w:val="18"/>
          <w:szCs w:val="18"/>
        </w:rPr>
      </w:pPr>
    </w:p>
    <w:p w14:paraId="30237004" w14:textId="77777777" w:rsidR="00A23722" w:rsidRPr="00252AFA" w:rsidRDefault="00A23722" w:rsidP="00252AFA">
      <w:pPr>
        <w:ind w:left="851" w:right="678"/>
        <w:jc w:val="both"/>
        <w:rPr>
          <w:rFonts w:ascii="Arial" w:hAnsi="Arial" w:cs="Arial"/>
        </w:rPr>
      </w:pPr>
      <w:r w:rsidRPr="00252AFA">
        <w:rPr>
          <w:rFonts w:ascii="Arial" w:hAnsi="Arial" w:cs="Arial"/>
        </w:rPr>
        <w:t>Firma*:_____________________________________________Fecha*: ________________________________________________________________</w:t>
      </w:r>
    </w:p>
    <w:p w14:paraId="5A8D05C5" w14:textId="77777777" w:rsidR="00A23722" w:rsidRPr="00252AFA" w:rsidRDefault="00A23722" w:rsidP="00252AFA">
      <w:pPr>
        <w:ind w:left="851" w:right="678"/>
        <w:jc w:val="both"/>
        <w:rPr>
          <w:rFonts w:ascii="Arial" w:hAnsi="Arial" w:cs="Arial"/>
          <w:sz w:val="18"/>
          <w:szCs w:val="18"/>
        </w:rPr>
      </w:pPr>
    </w:p>
    <w:p w14:paraId="6F2338DF" w14:textId="77777777" w:rsidR="00A23722" w:rsidRPr="00252AFA" w:rsidRDefault="00A23722" w:rsidP="00252AFA">
      <w:pPr>
        <w:ind w:left="851" w:right="678"/>
        <w:jc w:val="both"/>
        <w:rPr>
          <w:rFonts w:ascii="Arial" w:hAnsi="Arial" w:cs="Arial"/>
          <w:sz w:val="18"/>
          <w:szCs w:val="18"/>
        </w:rPr>
      </w:pPr>
      <w:r w:rsidRPr="00252AFA">
        <w:rPr>
          <w:rFonts w:ascii="Arial" w:hAnsi="Arial" w:cs="Arial"/>
          <w:sz w:val="18"/>
          <w:szCs w:val="18"/>
        </w:rPr>
        <w:t>*Si el paciente no es capaz de leer o escribir, un testigo imparcial podrá completar la sección superior.</w:t>
      </w:r>
    </w:p>
    <w:p w14:paraId="3549A8D7" w14:textId="77777777" w:rsidR="00FB64D9" w:rsidRDefault="00FB64D9" w:rsidP="00252AFA">
      <w:pPr>
        <w:autoSpaceDE w:val="0"/>
        <w:autoSpaceDN w:val="0"/>
        <w:adjustRightInd w:val="0"/>
        <w:ind w:left="851" w:right="962" w:firstLine="142"/>
        <w:jc w:val="both"/>
        <w:rPr>
          <w:rFonts w:ascii="Arial" w:hAnsi="Arial" w:cs="Arial"/>
        </w:rPr>
      </w:pPr>
    </w:p>
    <w:sectPr w:rsidR="00FB64D9">
      <w:footerReference w:type="default" r:id="rId8"/>
      <w:pgSz w:w="11906" w:h="16838" w:code="9"/>
      <w:pgMar w:top="357" w:right="454" w:bottom="737" w:left="851" w:header="567" w:footer="567" w:gutter="0"/>
      <w:pgBorders>
        <w:top w:val="single" w:sz="4" w:space="0" w:color="auto"/>
        <w:left w:val="single" w:sz="4" w:space="0" w:color="auto"/>
        <w:bottom w:val="single" w:sz="4" w:space="0" w:color="auto"/>
        <w:right w:val="single" w:sz="4" w:space="0" w:color="auto"/>
      </w:pgBorders>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458CB" w14:textId="77777777" w:rsidR="00AA5E14" w:rsidRDefault="00AA5E14">
      <w:r>
        <w:separator/>
      </w:r>
    </w:p>
  </w:endnote>
  <w:endnote w:type="continuationSeparator" w:id="0">
    <w:p w14:paraId="60494057" w14:textId="77777777" w:rsidR="00AA5E14" w:rsidRDefault="00AA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8F2DE" w14:textId="77777777" w:rsidR="00E52ABE" w:rsidRDefault="00E52ABE">
    <w:pPr>
      <w:pStyle w:val="Piedepgina"/>
      <w:jc w:val="right"/>
      <w:rPr>
        <w:rFonts w:ascii="Arial" w:hAnsi="Arial"/>
        <w:b/>
        <w:sz w:val="24"/>
      </w:rPr>
    </w:pPr>
    <w:r>
      <w:rPr>
        <w:rFonts w:ascii="Arial" w:hAnsi="Arial"/>
        <w:b/>
        <w:sz w:val="24"/>
        <w:bdr w:val="single" w:sz="4" w:space="0" w:color="auto"/>
      </w:rPr>
      <w:t>05.00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6E297" w14:textId="77777777" w:rsidR="00AA5E14" w:rsidRDefault="00AA5E14">
      <w:r>
        <w:separator/>
      </w:r>
    </w:p>
  </w:footnote>
  <w:footnote w:type="continuationSeparator" w:id="0">
    <w:p w14:paraId="1654A406" w14:textId="77777777" w:rsidR="00AA5E14" w:rsidRDefault="00AA5E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50C5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B93D97"/>
    <w:multiLevelType w:val="hybridMultilevel"/>
    <w:tmpl w:val="A2E4A1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4742D7"/>
    <w:multiLevelType w:val="hybridMultilevel"/>
    <w:tmpl w:val="85860C70"/>
    <w:lvl w:ilvl="0" w:tplc="0C0A000F">
      <w:start w:val="1"/>
      <w:numFmt w:val="decimal"/>
      <w:lvlText w:val="%1."/>
      <w:lvlJc w:val="left"/>
      <w:pPr>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2D7C10"/>
    <w:multiLevelType w:val="hybridMultilevel"/>
    <w:tmpl w:val="6B20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2A3810"/>
    <w:multiLevelType w:val="singleLevel"/>
    <w:tmpl w:val="192852D0"/>
    <w:lvl w:ilvl="0">
      <w:start w:val="1"/>
      <w:numFmt w:val="decimal"/>
      <w:lvlText w:val="%1."/>
      <w:lvlJc w:val="left"/>
      <w:pPr>
        <w:tabs>
          <w:tab w:val="num" w:pos="360"/>
        </w:tabs>
        <w:ind w:left="360" w:hanging="360"/>
      </w:pPr>
    </w:lvl>
  </w:abstractNum>
  <w:abstractNum w:abstractNumId="5">
    <w:nsid w:val="4032058F"/>
    <w:multiLevelType w:val="hybridMultilevel"/>
    <w:tmpl w:val="87CAC584"/>
    <w:lvl w:ilvl="0" w:tplc="5E22AF10">
      <w:numFmt w:val="bullet"/>
      <w:lvlText w:val="-"/>
      <w:lvlJc w:val="left"/>
      <w:pPr>
        <w:ind w:left="720" w:hanging="360"/>
      </w:pPr>
      <w:rPr>
        <w:rFonts w:ascii="Calibri" w:eastAsia="Calibri" w:hAnsi="Calibri" w:cs="Times New Roman"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4BE722D"/>
    <w:multiLevelType w:val="hybridMultilevel"/>
    <w:tmpl w:val="0B680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B3E45C9"/>
    <w:multiLevelType w:val="hybridMultilevel"/>
    <w:tmpl w:val="D83622E0"/>
    <w:lvl w:ilvl="0" w:tplc="0C0A0001">
      <w:start w:val="1"/>
      <w:numFmt w:val="bullet"/>
      <w:lvlText w:val=""/>
      <w:lvlJc w:val="left"/>
      <w:pPr>
        <w:tabs>
          <w:tab w:val="num" w:pos="644"/>
        </w:tabs>
        <w:ind w:left="644" w:hanging="360"/>
      </w:pPr>
      <w:rPr>
        <w:rFonts w:ascii="Symbol" w:hAnsi="Symbol" w:hint="default"/>
      </w:rPr>
    </w:lvl>
    <w:lvl w:ilvl="1" w:tplc="0C0A0001">
      <w:start w:val="1"/>
      <w:numFmt w:val="bullet"/>
      <w:lvlText w:val=""/>
      <w:lvlJc w:val="left"/>
      <w:pPr>
        <w:tabs>
          <w:tab w:val="num" w:pos="1364"/>
        </w:tabs>
        <w:ind w:left="1364" w:hanging="360"/>
      </w:pPr>
      <w:rPr>
        <w:rFonts w:ascii="Symbol" w:hAnsi="Symbol"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nsid w:val="50B56F16"/>
    <w:multiLevelType w:val="hybridMultilevel"/>
    <w:tmpl w:val="D458AF56"/>
    <w:lvl w:ilvl="0" w:tplc="00000003">
      <w:numFmt w:val="bullet"/>
      <w:lvlText w:val="-"/>
      <w:lvlJc w:val="left"/>
      <w:pPr>
        <w:ind w:left="1004" w:hanging="360"/>
      </w:pPr>
      <w:rPr>
        <w:rFonts w:ascii="Times New Roman" w:hAnsi="Times New Roman" w:cs="Times New Roman"/>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54A510E6"/>
    <w:multiLevelType w:val="hybridMultilevel"/>
    <w:tmpl w:val="058076D6"/>
    <w:lvl w:ilvl="0" w:tplc="0F186948">
      <w:start w:val="1"/>
      <w:numFmt w:val="decimal"/>
      <w:lvlText w:val="%1."/>
      <w:lvlJc w:val="left"/>
      <w:pPr>
        <w:tabs>
          <w:tab w:val="num" w:pos="417"/>
        </w:tabs>
        <w:ind w:left="417" w:hanging="360"/>
      </w:pPr>
      <w:rPr>
        <w:rFonts w:hint="default"/>
      </w:rPr>
    </w:lvl>
    <w:lvl w:ilvl="1" w:tplc="0C0A0001">
      <w:start w:val="1"/>
      <w:numFmt w:val="bullet"/>
      <w:lvlText w:val=""/>
      <w:lvlJc w:val="left"/>
      <w:pPr>
        <w:tabs>
          <w:tab w:val="num" w:pos="1137"/>
        </w:tabs>
        <w:ind w:left="1137" w:hanging="360"/>
      </w:pPr>
      <w:rPr>
        <w:rFonts w:ascii="Symbol" w:hAnsi="Symbol" w:hint="default"/>
      </w:r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0">
    <w:nsid w:val="760E4D30"/>
    <w:multiLevelType w:val="singleLevel"/>
    <w:tmpl w:val="0C0A0001"/>
    <w:lvl w:ilvl="0">
      <w:start w:val="1"/>
      <w:numFmt w:val="bullet"/>
      <w:lvlText w:val=""/>
      <w:lvlJc w:val="left"/>
      <w:pPr>
        <w:ind w:left="720" w:hanging="360"/>
      </w:pPr>
      <w:rPr>
        <w:rFonts w:ascii="Symbol" w:hAnsi="Symbol" w:hint="default"/>
      </w:rPr>
    </w:lvl>
  </w:abstractNum>
  <w:num w:numId="1">
    <w:abstractNumId w:val="10"/>
  </w:num>
  <w:num w:numId="2">
    <w:abstractNumId w:val="4"/>
    <w:lvlOverride w:ilvl="0">
      <w:startOverride w:val="1"/>
    </w:lvlOverride>
  </w:num>
  <w:num w:numId="3">
    <w:abstractNumId w:val="9"/>
  </w:num>
  <w:num w:numId="4">
    <w:abstractNumId w:val="5"/>
  </w:num>
  <w:num w:numId="5">
    <w:abstractNumId w:val="0"/>
  </w:num>
  <w:num w:numId="6">
    <w:abstractNumId w:val="6"/>
  </w:num>
  <w:num w:numId="7">
    <w:abstractNumId w:val="1"/>
  </w:num>
  <w:num w:numId="8">
    <w:abstractNumId w:val="2"/>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lignBordersAndEdg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3E"/>
    <w:rsid w:val="000141CF"/>
    <w:rsid w:val="00026F2A"/>
    <w:rsid w:val="000517B1"/>
    <w:rsid w:val="00057307"/>
    <w:rsid w:val="00073F95"/>
    <w:rsid w:val="000900D4"/>
    <w:rsid w:val="00091450"/>
    <w:rsid w:val="000B60C5"/>
    <w:rsid w:val="000D36B6"/>
    <w:rsid w:val="00147EAB"/>
    <w:rsid w:val="0015243E"/>
    <w:rsid w:val="001A0403"/>
    <w:rsid w:val="001D02D8"/>
    <w:rsid w:val="001F41A6"/>
    <w:rsid w:val="001F711C"/>
    <w:rsid w:val="00220CD7"/>
    <w:rsid w:val="00221AD0"/>
    <w:rsid w:val="002432A6"/>
    <w:rsid w:val="00252AFA"/>
    <w:rsid w:val="00284BFA"/>
    <w:rsid w:val="002D7B94"/>
    <w:rsid w:val="002F3202"/>
    <w:rsid w:val="00300515"/>
    <w:rsid w:val="0032669B"/>
    <w:rsid w:val="00327BFB"/>
    <w:rsid w:val="0038347B"/>
    <w:rsid w:val="0039288D"/>
    <w:rsid w:val="00395292"/>
    <w:rsid w:val="003D50C7"/>
    <w:rsid w:val="003D7717"/>
    <w:rsid w:val="00407C83"/>
    <w:rsid w:val="00417474"/>
    <w:rsid w:val="00442EEF"/>
    <w:rsid w:val="004563DA"/>
    <w:rsid w:val="00473400"/>
    <w:rsid w:val="004A7DD0"/>
    <w:rsid w:val="005E1B3A"/>
    <w:rsid w:val="00616CDD"/>
    <w:rsid w:val="0061766C"/>
    <w:rsid w:val="00627ECB"/>
    <w:rsid w:val="00641085"/>
    <w:rsid w:val="00645261"/>
    <w:rsid w:val="00650749"/>
    <w:rsid w:val="00663220"/>
    <w:rsid w:val="00671F71"/>
    <w:rsid w:val="006A1773"/>
    <w:rsid w:val="006F1CF8"/>
    <w:rsid w:val="006F5F8E"/>
    <w:rsid w:val="007357F4"/>
    <w:rsid w:val="0076779B"/>
    <w:rsid w:val="007920DB"/>
    <w:rsid w:val="007C694C"/>
    <w:rsid w:val="00807C54"/>
    <w:rsid w:val="0083676F"/>
    <w:rsid w:val="00837F74"/>
    <w:rsid w:val="0086298C"/>
    <w:rsid w:val="00874D37"/>
    <w:rsid w:val="008A7EF9"/>
    <w:rsid w:val="008B54E9"/>
    <w:rsid w:val="008C627F"/>
    <w:rsid w:val="00910666"/>
    <w:rsid w:val="009127A2"/>
    <w:rsid w:val="009206E5"/>
    <w:rsid w:val="009627C6"/>
    <w:rsid w:val="00997BB1"/>
    <w:rsid w:val="009A3B1C"/>
    <w:rsid w:val="009C1765"/>
    <w:rsid w:val="009C3354"/>
    <w:rsid w:val="009C46E1"/>
    <w:rsid w:val="009F0A8A"/>
    <w:rsid w:val="00A11037"/>
    <w:rsid w:val="00A23722"/>
    <w:rsid w:val="00A25EDD"/>
    <w:rsid w:val="00A30CF0"/>
    <w:rsid w:val="00A8365D"/>
    <w:rsid w:val="00A85C49"/>
    <w:rsid w:val="00A86F21"/>
    <w:rsid w:val="00A93398"/>
    <w:rsid w:val="00A97DDE"/>
    <w:rsid w:val="00AA0B6E"/>
    <w:rsid w:val="00AA1F1F"/>
    <w:rsid w:val="00AA5E14"/>
    <w:rsid w:val="00AC3C67"/>
    <w:rsid w:val="00AE4FAB"/>
    <w:rsid w:val="00AF0CB9"/>
    <w:rsid w:val="00B37368"/>
    <w:rsid w:val="00B42E6E"/>
    <w:rsid w:val="00B4619F"/>
    <w:rsid w:val="00B734E1"/>
    <w:rsid w:val="00B91F2E"/>
    <w:rsid w:val="00B951EA"/>
    <w:rsid w:val="00BC13BC"/>
    <w:rsid w:val="00BC3F86"/>
    <w:rsid w:val="00BF075F"/>
    <w:rsid w:val="00C0694E"/>
    <w:rsid w:val="00C1426D"/>
    <w:rsid w:val="00C23323"/>
    <w:rsid w:val="00C42758"/>
    <w:rsid w:val="00C7313E"/>
    <w:rsid w:val="00C7337B"/>
    <w:rsid w:val="00C80571"/>
    <w:rsid w:val="00C919C2"/>
    <w:rsid w:val="00C95B44"/>
    <w:rsid w:val="00CC4572"/>
    <w:rsid w:val="00CC733B"/>
    <w:rsid w:val="00D0049A"/>
    <w:rsid w:val="00D324E0"/>
    <w:rsid w:val="00D325C3"/>
    <w:rsid w:val="00D503EB"/>
    <w:rsid w:val="00D52C94"/>
    <w:rsid w:val="00D560F1"/>
    <w:rsid w:val="00D746A6"/>
    <w:rsid w:val="00D80D8A"/>
    <w:rsid w:val="00D96E5B"/>
    <w:rsid w:val="00DA1D6A"/>
    <w:rsid w:val="00DA6166"/>
    <w:rsid w:val="00E03C15"/>
    <w:rsid w:val="00E16DDB"/>
    <w:rsid w:val="00E52ABE"/>
    <w:rsid w:val="00E639E9"/>
    <w:rsid w:val="00E72E44"/>
    <w:rsid w:val="00E7609D"/>
    <w:rsid w:val="00EA23DE"/>
    <w:rsid w:val="00EA4AFB"/>
    <w:rsid w:val="00EB3267"/>
    <w:rsid w:val="00EC0B28"/>
    <w:rsid w:val="00EC4201"/>
    <w:rsid w:val="00ED450E"/>
    <w:rsid w:val="00EF3D3E"/>
    <w:rsid w:val="00F15BF9"/>
    <w:rsid w:val="00F34895"/>
    <w:rsid w:val="00F51A67"/>
    <w:rsid w:val="00F56374"/>
    <w:rsid w:val="00F615B0"/>
    <w:rsid w:val="00F86F0A"/>
    <w:rsid w:val="00F92214"/>
    <w:rsid w:val="00FB64D9"/>
    <w:rsid w:val="00FC6836"/>
    <w:rsid w:val="00FD25EE"/>
    <w:rsid w:val="00FF51F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50F6BA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rsid w:val="00C7313E"/>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pBdr>
        <w:top w:val="single" w:sz="4" w:space="1" w:color="auto"/>
      </w:pBdr>
      <w:shd w:val="pct15" w:color="auto" w:fill="FFFFFF"/>
      <w:spacing w:before="120" w:after="60"/>
      <w:jc w:val="center"/>
      <w:outlineLvl w:val="1"/>
    </w:pPr>
    <w:rPr>
      <w:rFonts w:ascii="Arial" w:hAnsi="Arial"/>
      <w:b/>
      <w:smallCaps/>
      <w:lang w:val="es-ES_tradnl"/>
    </w:rPr>
  </w:style>
  <w:style w:type="paragraph" w:styleId="Ttulo3">
    <w:name w:val="heading 3"/>
    <w:basedOn w:val="Normal"/>
    <w:next w:val="Normal"/>
    <w:qFormat/>
    <w:pPr>
      <w:keepNext/>
      <w:tabs>
        <w:tab w:val="left" w:pos="227"/>
      </w:tabs>
      <w:spacing w:before="60" w:after="60"/>
      <w:ind w:left="227" w:hanging="227"/>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sinformato">
    <w:name w:val="Plain Text"/>
    <w:basedOn w:val="Normal"/>
    <w:rPr>
      <w:rFonts w:ascii="Courier New" w:hAnsi="Courier New"/>
    </w:rPr>
  </w:style>
  <w:style w:type="paragraph" w:styleId="Sangra2detindependiente">
    <w:name w:val="Body Text Indent 2"/>
    <w:basedOn w:val="Normal"/>
    <w:pPr>
      <w:ind w:firstLine="709"/>
      <w:jc w:val="both"/>
    </w:pPr>
    <w:rPr>
      <w:rFonts w:ascii="Arial" w:hAnsi="Arial"/>
    </w:rPr>
  </w:style>
  <w:style w:type="paragraph" w:styleId="Textodebloque">
    <w:name w:val="Block Text"/>
    <w:basedOn w:val="Normal"/>
    <w:pPr>
      <w:ind w:left="142" w:right="111" w:firstLine="567"/>
      <w:jc w:val="both"/>
    </w:pPr>
    <w:rPr>
      <w:rFonts w:ascii="Arial" w:hAnsi="Arial"/>
    </w:rPr>
  </w:style>
  <w:style w:type="table" w:customStyle="1" w:styleId="Estilo1">
    <w:name w:val="Estilo1"/>
    <w:basedOn w:val="Tablamoderna"/>
    <w:uiPriority w:val="99"/>
    <w:qFormat/>
    <w:rsid w:val="00A85C49"/>
    <w:pPr>
      <w:jc w:val="both"/>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rsid w:val="00A85C4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deglobo">
    <w:name w:val="Balloon Text"/>
    <w:basedOn w:val="Normal"/>
    <w:semiHidden/>
    <w:rsid w:val="00407C83"/>
    <w:rPr>
      <w:rFonts w:ascii="Tahoma" w:hAnsi="Tahoma" w:cs="Tahoma"/>
      <w:sz w:val="16"/>
      <w:szCs w:val="16"/>
    </w:rPr>
  </w:style>
  <w:style w:type="character" w:customStyle="1" w:styleId="PiedepginaCar">
    <w:name w:val="Pie de página Car"/>
    <w:link w:val="Piedepgina"/>
    <w:locked/>
    <w:rsid w:val="00A23722"/>
    <w:rPr>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508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C%20Informados%201\informe%20de%20alta%20BLAN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C:\Mis documentos\C Informados 1\informe de alta BLANCO.dot</Template>
  <TotalTime>76</TotalTime>
  <Pages>2</Pages>
  <Words>1165</Words>
  <Characters>6410</Characters>
  <Application>Microsoft Macintosh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MOTIVO DE CONSULTA</vt:lpstr>
    </vt:vector>
  </TitlesOfParts>
  <Company>HULP</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MOTIVO DE CONSULTA</dc:title>
  <dc:subject/>
  <dc:creator>Medicina Preventiva</dc:creator>
  <cp:keywords/>
  <cp:lastModifiedBy>Federico Diaz</cp:lastModifiedBy>
  <cp:revision>57</cp:revision>
  <cp:lastPrinted>2015-06-11T12:56:00Z</cp:lastPrinted>
  <dcterms:created xsi:type="dcterms:W3CDTF">2016-04-26T20:51:00Z</dcterms:created>
  <dcterms:modified xsi:type="dcterms:W3CDTF">2016-05-01T07:41:00Z</dcterms:modified>
</cp:coreProperties>
</file>