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CD" w:rsidRPr="00A473E4" w:rsidRDefault="006A5FCD" w:rsidP="00A473E4">
      <w:pPr>
        <w:spacing w:after="0"/>
        <w:jc w:val="center"/>
        <w:rPr>
          <w:bCs/>
          <w:sz w:val="16"/>
          <w:szCs w:val="16"/>
          <w:lang w:val="es-ES_tradnl"/>
        </w:rPr>
      </w:pPr>
    </w:p>
    <w:p w:rsidR="006A5FCD" w:rsidRPr="00C305F5" w:rsidRDefault="006A5FCD" w:rsidP="00D20CFC">
      <w:pPr>
        <w:jc w:val="center"/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 xml:space="preserve">PROYECTO DE </w:t>
      </w:r>
      <w:r w:rsidRPr="00C305F5">
        <w:rPr>
          <w:b/>
          <w:bCs/>
          <w:sz w:val="32"/>
          <w:szCs w:val="32"/>
          <w:lang w:val="es-ES_tradnl"/>
        </w:rPr>
        <w:t xml:space="preserve">ACTUALIZACIÓN DEL DOCUMENTO DE CONSENSO DE LA </w:t>
      </w:r>
      <w:r>
        <w:rPr>
          <w:b/>
          <w:bCs/>
          <w:sz w:val="32"/>
          <w:szCs w:val="32"/>
          <w:lang w:val="es-ES_tradnl"/>
        </w:rPr>
        <w:t>SER</w:t>
      </w:r>
      <w:r w:rsidRPr="00C305F5">
        <w:rPr>
          <w:b/>
          <w:bCs/>
          <w:sz w:val="32"/>
          <w:szCs w:val="32"/>
          <w:lang w:val="es-ES_tradnl"/>
        </w:rPr>
        <w:t xml:space="preserve"> SOBRE EL USO DE TERAPIAS BIOLÓGICAS EN </w:t>
      </w:r>
      <w:r>
        <w:rPr>
          <w:b/>
          <w:bCs/>
          <w:sz w:val="32"/>
          <w:szCs w:val="32"/>
          <w:lang w:val="es-ES_tradnl"/>
        </w:rPr>
        <w:t xml:space="preserve">ESPONDILOARTRITIS AXIAL EXCLUYENDO LA FORMA PSORIASICA. </w:t>
      </w:r>
    </w:p>
    <w:p w:rsidR="006A5FCD" w:rsidRPr="003E37CA" w:rsidRDefault="006A5FCD" w:rsidP="00693C64">
      <w:pPr>
        <w:spacing w:after="60"/>
        <w:jc w:val="center"/>
        <w:rPr>
          <w:b/>
          <w:bCs/>
          <w:color w:val="4F81BD"/>
          <w:sz w:val="28"/>
          <w:szCs w:val="28"/>
          <w:lang w:val="es-ES_tradnl"/>
        </w:rPr>
      </w:pPr>
      <w:r>
        <w:rPr>
          <w:b/>
          <w:bCs/>
          <w:color w:val="4F81BD"/>
          <w:sz w:val="28"/>
          <w:szCs w:val="28"/>
          <w:lang w:val="es-ES_tradnl"/>
        </w:rPr>
        <w:t>CONVOCATORIA</w:t>
      </w:r>
      <w:r w:rsidRPr="003E37CA">
        <w:rPr>
          <w:b/>
          <w:bCs/>
          <w:color w:val="4F81BD"/>
          <w:sz w:val="28"/>
          <w:szCs w:val="28"/>
          <w:lang w:val="es-ES_tradnl"/>
        </w:rPr>
        <w:t xml:space="preserve"> DE EXPERTOS PARA FORMAR PARTE DEL GRUPO </w:t>
      </w:r>
      <w:r>
        <w:rPr>
          <w:b/>
          <w:bCs/>
          <w:color w:val="4F81BD"/>
          <w:sz w:val="28"/>
          <w:szCs w:val="28"/>
          <w:lang w:val="es-ES_tradnl"/>
        </w:rPr>
        <w:t>DE PANELISTAS</w:t>
      </w:r>
    </w:p>
    <w:p w:rsidR="006A5FCD" w:rsidRPr="00A473E4" w:rsidRDefault="006A5FCD" w:rsidP="00A473E4">
      <w:pPr>
        <w:spacing w:after="0" w:line="240" w:lineRule="auto"/>
        <w:rPr>
          <w:b/>
          <w:bCs/>
          <w:sz w:val="16"/>
          <w:szCs w:val="16"/>
          <w:lang w:val="es-ES_tradnl"/>
        </w:rPr>
      </w:pPr>
    </w:p>
    <w:p w:rsidR="006A5FCD" w:rsidRPr="001148D0" w:rsidRDefault="006A5FCD" w:rsidP="001148D0">
      <w:pPr>
        <w:pStyle w:val="Prrafodelista"/>
        <w:numPr>
          <w:ilvl w:val="0"/>
          <w:numId w:val="4"/>
        </w:numPr>
        <w:ind w:left="284" w:hanging="284"/>
        <w:rPr>
          <w:b/>
          <w:bCs/>
          <w:sz w:val="28"/>
          <w:szCs w:val="28"/>
          <w:lang w:val="es-ES_tradnl"/>
        </w:rPr>
      </w:pPr>
      <w:r w:rsidRPr="001148D0">
        <w:rPr>
          <w:b/>
          <w:bCs/>
          <w:sz w:val="28"/>
          <w:szCs w:val="28"/>
          <w:lang w:val="es-ES_tradnl"/>
        </w:rPr>
        <w:t>Antecedentes y justificación</w:t>
      </w:r>
    </w:p>
    <w:p w:rsidR="006A5FCD" w:rsidRDefault="006A5FCD" w:rsidP="00ED5884">
      <w:pPr>
        <w:pStyle w:val="Ttulo2"/>
        <w:spacing w:before="60" w:beforeAutospacing="0" w:after="6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</w:pPr>
      <w:r w:rsidRPr="00ED5884"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 xml:space="preserve">Las últimas recomendaciones de </w:t>
      </w:r>
      <w:r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>C</w:t>
      </w:r>
      <w:r w:rsidRPr="00ED5884"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 xml:space="preserve">onsenso de la SER sobre el uso de terapias biológicas en la </w:t>
      </w:r>
      <w:r w:rsidRPr="0034714E"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>espondilitis anquilosantes y otras espondiloartritis (EspA) excepto la artritis psoriásica</w:t>
      </w:r>
      <w:r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>,</w:t>
      </w:r>
      <w:r w:rsidRPr="00ED5884"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 xml:space="preserve">fueron </w:t>
      </w:r>
      <w:r w:rsidRPr="00ED5884"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>actualizadas en el año 2010</w:t>
      </w:r>
      <w:r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>.</w:t>
      </w:r>
      <w:r>
        <w:rPr>
          <w:lang w:val="es-ES_tradnl"/>
        </w:rPr>
        <w:t xml:space="preserve"> </w:t>
      </w:r>
    </w:p>
    <w:p w:rsidR="006A5FCD" w:rsidRDefault="006A5FCD" w:rsidP="00ED5884">
      <w:pPr>
        <w:pStyle w:val="Ttulo2"/>
        <w:spacing w:before="60" w:beforeAutospacing="0" w:after="6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</w:pPr>
      <w:r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>Dado el tiempo transcurrido se hace necesario someter el Consenso a un proceso de revisión y actualización de la evidencia con objeto de establecer recomendaciones vigentes y basadas en la mejor evidencia disponible orientadas a mejorar la calidad asistencial y ayudar a los especialistas en reumatología en la toma de decisiones terapéuticas en este grupo de enfermedades.</w:t>
      </w:r>
    </w:p>
    <w:p w:rsidR="006A5FCD" w:rsidRPr="00A473E4" w:rsidRDefault="006A5FCD" w:rsidP="00A473E4">
      <w:pPr>
        <w:pStyle w:val="Ttulo2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16"/>
          <w:szCs w:val="16"/>
          <w:lang w:val="es-ES_tradnl" w:eastAsia="en-US"/>
        </w:rPr>
      </w:pPr>
      <w:bookmarkStart w:id="0" w:name="_GoBack"/>
    </w:p>
    <w:bookmarkEnd w:id="0"/>
    <w:p w:rsidR="006A5FCD" w:rsidRPr="0060111C" w:rsidRDefault="006A5FCD" w:rsidP="0060111C">
      <w:pPr>
        <w:pStyle w:val="Prrafodelista"/>
        <w:numPr>
          <w:ilvl w:val="0"/>
          <w:numId w:val="4"/>
        </w:numPr>
        <w:spacing w:before="60"/>
        <w:ind w:left="284" w:hanging="284"/>
        <w:jc w:val="both"/>
        <w:rPr>
          <w:b/>
          <w:bCs/>
          <w:sz w:val="28"/>
          <w:szCs w:val="28"/>
          <w:lang w:val="es-ES_tradnl"/>
        </w:rPr>
      </w:pPr>
      <w:r w:rsidRPr="0060111C">
        <w:rPr>
          <w:b/>
          <w:bCs/>
          <w:sz w:val="28"/>
          <w:szCs w:val="28"/>
          <w:lang w:val="es-ES_tradnl"/>
        </w:rPr>
        <w:t xml:space="preserve">Descripción del proyecto </w:t>
      </w:r>
    </w:p>
    <w:p w:rsidR="006A5FCD" w:rsidRDefault="006A5FCD" w:rsidP="00FD4D2A">
      <w:pPr>
        <w:jc w:val="both"/>
        <w:rPr>
          <w:lang w:val="es-ES_tradnl"/>
        </w:rPr>
      </w:pPr>
      <w:r>
        <w:rPr>
          <w:lang w:val="es-ES_tradnl"/>
        </w:rPr>
        <w:t>La actualización del documento de Consenso de la SER</w:t>
      </w:r>
      <w:r w:rsidR="006E0222">
        <w:rPr>
          <w:lang w:val="es-ES_tradnl"/>
        </w:rPr>
        <w:t>,</w:t>
      </w:r>
      <w:r>
        <w:rPr>
          <w:lang w:val="es-ES_tradnl"/>
        </w:rPr>
        <w:t xml:space="preserve"> sobre el uso de terapias biológicas en la EspA axiales (excluyendo APS)</w:t>
      </w:r>
      <w:r w:rsidR="006E0222">
        <w:rPr>
          <w:lang w:val="es-ES_tradnl"/>
        </w:rPr>
        <w:t>,</w:t>
      </w:r>
      <w:r>
        <w:rPr>
          <w:lang w:val="es-ES_tradnl"/>
        </w:rPr>
        <w:t xml:space="preserve"> se desarrollará </w:t>
      </w:r>
      <w:r w:rsidR="00D81877">
        <w:rPr>
          <w:lang w:val="es-ES_tradnl"/>
        </w:rPr>
        <w:t>entre la segunda mitad del año 2015 y la primera de 2016</w:t>
      </w:r>
      <w:r w:rsidR="006E0222">
        <w:rPr>
          <w:lang w:val="es-ES_tradnl"/>
        </w:rPr>
        <w:t>,</w:t>
      </w:r>
      <w:r w:rsidRPr="004915B8">
        <w:rPr>
          <w:lang w:val="es-ES_tradnl"/>
        </w:rPr>
        <w:t xml:space="preserve"> </w:t>
      </w:r>
      <w:r>
        <w:rPr>
          <w:lang w:val="es-ES_tradnl"/>
        </w:rPr>
        <w:t>fundamentándose en las revis</w:t>
      </w:r>
      <w:r w:rsidR="006E0222">
        <w:rPr>
          <w:lang w:val="es-ES_tradnl"/>
        </w:rPr>
        <w:t>iones sistemáticas (RS) que se han</w:t>
      </w:r>
      <w:r>
        <w:rPr>
          <w:lang w:val="es-ES_tradnl"/>
        </w:rPr>
        <w:t xml:space="preserve"> </w:t>
      </w:r>
      <w:r w:rsidR="006E0222">
        <w:rPr>
          <w:lang w:val="es-ES_tradnl"/>
        </w:rPr>
        <w:t>realiz</w:t>
      </w:r>
      <w:r>
        <w:rPr>
          <w:lang w:val="es-ES_tradnl"/>
        </w:rPr>
        <w:t xml:space="preserve">ado para dar respuesta a las preguntas PICO </w:t>
      </w:r>
      <w:r w:rsidR="006E0222">
        <w:rPr>
          <w:lang w:val="es-ES_tradnl"/>
        </w:rPr>
        <w:t>elabora</w:t>
      </w:r>
      <w:r>
        <w:rPr>
          <w:lang w:val="es-ES_tradnl"/>
        </w:rPr>
        <w:t xml:space="preserve">das para la actualización de la </w:t>
      </w:r>
      <w:proofErr w:type="spellStart"/>
      <w:r>
        <w:rPr>
          <w:lang w:val="es-ES_tradnl"/>
        </w:rPr>
        <w:t>EspoGuía</w:t>
      </w:r>
      <w:proofErr w:type="spellEnd"/>
      <w:r>
        <w:rPr>
          <w:lang w:val="es-ES_tradnl"/>
        </w:rPr>
        <w:t xml:space="preserve"> (ver tabla 1). Las recomendaciones derivadas de este Consenso serán presentadas en el </w:t>
      </w:r>
      <w:r w:rsidR="006E0222">
        <w:rPr>
          <w:lang w:val="es-ES_tradnl"/>
        </w:rPr>
        <w:t xml:space="preserve">Congreso Nacional </w:t>
      </w:r>
      <w:r>
        <w:rPr>
          <w:lang w:val="es-ES_tradnl"/>
        </w:rPr>
        <w:t xml:space="preserve">que tendrá lugar los </w:t>
      </w:r>
      <w:r w:rsidRPr="0060111C">
        <w:rPr>
          <w:b/>
          <w:lang w:val="es-ES_tradnl"/>
        </w:rPr>
        <w:t xml:space="preserve">días </w:t>
      </w:r>
      <w:r w:rsidR="006E0222">
        <w:rPr>
          <w:b/>
          <w:lang w:val="es-ES_tradnl"/>
        </w:rPr>
        <w:t>18</w:t>
      </w:r>
      <w:r w:rsidRPr="0060111C">
        <w:rPr>
          <w:b/>
          <w:lang w:val="es-ES_tradnl"/>
        </w:rPr>
        <w:t xml:space="preserve"> </w:t>
      </w:r>
      <w:r w:rsidR="006E0222">
        <w:rPr>
          <w:b/>
          <w:lang w:val="es-ES_tradnl"/>
        </w:rPr>
        <w:t>al</w:t>
      </w:r>
      <w:r w:rsidRPr="0060111C">
        <w:rPr>
          <w:b/>
          <w:lang w:val="es-ES_tradnl"/>
        </w:rPr>
        <w:t xml:space="preserve"> </w:t>
      </w:r>
      <w:r w:rsidR="006E0222">
        <w:rPr>
          <w:b/>
          <w:lang w:val="es-ES_tradnl"/>
        </w:rPr>
        <w:t>21</w:t>
      </w:r>
      <w:r w:rsidRPr="0060111C">
        <w:rPr>
          <w:b/>
          <w:lang w:val="es-ES_tradnl"/>
        </w:rPr>
        <w:t xml:space="preserve"> </w:t>
      </w:r>
      <w:r w:rsidR="006E0222">
        <w:rPr>
          <w:b/>
          <w:lang w:val="es-ES_tradnl"/>
        </w:rPr>
        <w:t xml:space="preserve">de mayo de 2016 </w:t>
      </w:r>
      <w:r w:rsidRPr="0060111C">
        <w:rPr>
          <w:b/>
          <w:lang w:val="es-ES_tradnl"/>
        </w:rPr>
        <w:t xml:space="preserve">en </w:t>
      </w:r>
      <w:r w:rsidR="006E0222">
        <w:rPr>
          <w:b/>
          <w:lang w:val="es-ES_tradnl"/>
        </w:rPr>
        <w:t>Barcel</w:t>
      </w:r>
      <w:r w:rsidRPr="0060111C">
        <w:rPr>
          <w:b/>
          <w:lang w:val="es-ES_tradnl"/>
        </w:rPr>
        <w:t>ona</w:t>
      </w:r>
      <w:r>
        <w:rPr>
          <w:b/>
          <w:lang w:val="es-ES_tradnl"/>
        </w:rPr>
        <w:t>.</w:t>
      </w:r>
    </w:p>
    <w:p w:rsidR="006A5FCD" w:rsidRPr="00450F04" w:rsidRDefault="006A5FCD" w:rsidP="00961D3A">
      <w:pPr>
        <w:spacing w:after="0"/>
        <w:jc w:val="both"/>
        <w:rPr>
          <w:b/>
          <w:bCs/>
          <w:color w:val="4F81BD"/>
          <w:lang w:val="es-ES_tradnl"/>
        </w:rPr>
      </w:pPr>
      <w:r>
        <w:rPr>
          <w:b/>
          <w:bCs/>
          <w:color w:val="4F81BD"/>
          <w:lang w:val="es-ES_tradnl"/>
        </w:rPr>
        <w:t xml:space="preserve">Tabla 1: PREGUNTAS PICO relacionadas con EspA </w:t>
      </w:r>
      <w:r w:rsidR="006447FD">
        <w:rPr>
          <w:b/>
          <w:bCs/>
          <w:color w:val="4F81BD"/>
          <w:lang w:val="es-ES_tradnl"/>
        </w:rPr>
        <w:t xml:space="preserve">axial </w:t>
      </w:r>
      <w:r w:rsidR="006E0222">
        <w:rPr>
          <w:b/>
          <w:bCs/>
          <w:color w:val="4F81BD"/>
          <w:lang w:val="es-ES_tradnl"/>
        </w:rPr>
        <w:t>elabor</w:t>
      </w:r>
      <w:r>
        <w:rPr>
          <w:b/>
          <w:bCs/>
          <w:color w:val="4F81BD"/>
          <w:lang w:val="es-ES_tradnl"/>
        </w:rPr>
        <w:t xml:space="preserve">adas para la actualización de la </w:t>
      </w:r>
      <w:proofErr w:type="spellStart"/>
      <w:r>
        <w:rPr>
          <w:b/>
          <w:bCs/>
          <w:color w:val="4F81BD"/>
          <w:lang w:val="es-ES_tradnl"/>
        </w:rPr>
        <w:t>EspoGuía</w:t>
      </w:r>
      <w:proofErr w:type="spellEnd"/>
    </w:p>
    <w:tbl>
      <w:tblPr>
        <w:tblW w:w="0" w:type="auto"/>
        <w:tblInd w:w="-106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2" w:space="0" w:color="4F81BD"/>
          <w:insideV w:val="single" w:sz="12" w:space="0" w:color="4F81BD"/>
        </w:tblBorders>
        <w:tblLook w:val="00A0"/>
      </w:tblPr>
      <w:tblGrid>
        <w:gridCol w:w="1367"/>
        <w:gridCol w:w="7213"/>
      </w:tblGrid>
      <w:tr w:rsidR="006A5FCD" w:rsidRPr="000D2542" w:rsidTr="005F1EE8">
        <w:tc>
          <w:tcPr>
            <w:tcW w:w="1367" w:type="dxa"/>
            <w:tcBorders>
              <w:top w:val="single" w:sz="12" w:space="0" w:color="4F81BD"/>
            </w:tcBorders>
            <w:shd w:val="clear" w:color="auto" w:fill="F2F2F2"/>
          </w:tcPr>
          <w:p w:rsidR="006A5FCD" w:rsidRPr="000D2542" w:rsidRDefault="006A5FCD" w:rsidP="0034714E">
            <w:pPr>
              <w:spacing w:before="60" w:after="6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Pregunta 1</w:t>
            </w:r>
          </w:p>
        </w:tc>
        <w:tc>
          <w:tcPr>
            <w:tcW w:w="7213" w:type="dxa"/>
            <w:tcBorders>
              <w:top w:val="single" w:sz="12" w:space="0" w:color="4F81BD"/>
            </w:tcBorders>
          </w:tcPr>
          <w:p w:rsidR="006A5FCD" w:rsidRDefault="006A5FCD" w:rsidP="006E0222">
            <w:pPr>
              <w:spacing w:before="60" w:after="60" w:line="240" w:lineRule="auto"/>
              <w:jc w:val="both"/>
              <w:rPr>
                <w:lang w:val="es-ES_tradnl"/>
              </w:rPr>
            </w:pPr>
            <w:r>
              <w:t>En paciente</w:t>
            </w:r>
            <w:r w:rsidR="006E0222">
              <w:t>s</w:t>
            </w:r>
            <w:r>
              <w:t xml:space="preserve"> con </w:t>
            </w:r>
            <w:r w:rsidR="006E0222">
              <w:t>e</w:t>
            </w:r>
            <w:r>
              <w:t>sp</w:t>
            </w:r>
            <w:r w:rsidR="006E0222">
              <w:t>ondiloartritis a</w:t>
            </w:r>
            <w:r>
              <w:t xml:space="preserve">xial, </w:t>
            </w:r>
            <w:r w:rsidR="006E0222">
              <w:t>¿</w:t>
            </w:r>
            <w:r>
              <w:t>la intervención</w:t>
            </w:r>
            <w:r w:rsidR="006E0222">
              <w:t xml:space="preserve"> farmacológica</w:t>
            </w:r>
            <w:r>
              <w:t xml:space="preserve"> precoz, mejora la capacidad funcional, daño estructural y calidad de vida?</w:t>
            </w:r>
          </w:p>
        </w:tc>
      </w:tr>
      <w:tr w:rsidR="006A5FCD" w:rsidRPr="000D2542" w:rsidTr="005F1EE8">
        <w:tc>
          <w:tcPr>
            <w:tcW w:w="1367" w:type="dxa"/>
            <w:shd w:val="clear" w:color="auto" w:fill="F2F2F2"/>
          </w:tcPr>
          <w:p w:rsidR="006A5FCD" w:rsidRPr="000D2542" w:rsidRDefault="006A5FCD" w:rsidP="0034714E">
            <w:pPr>
              <w:spacing w:before="60" w:after="6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Pregunta 2.1</w:t>
            </w:r>
          </w:p>
        </w:tc>
        <w:tc>
          <w:tcPr>
            <w:tcW w:w="7213" w:type="dxa"/>
          </w:tcPr>
          <w:p w:rsidR="006A5FCD" w:rsidRPr="006E0222" w:rsidRDefault="006A5FCD" w:rsidP="006E0222">
            <w:pPr>
              <w:spacing w:before="60" w:after="60" w:line="240" w:lineRule="auto"/>
              <w:jc w:val="both"/>
            </w:pPr>
            <w:r>
              <w:t xml:space="preserve">En </w:t>
            </w:r>
            <w:r w:rsidR="006E0222" w:rsidRPr="006E0222">
              <w:t xml:space="preserve">pacientes con espondiloartritis axial no radiológica, ¿cuál es la eficacia de las distintas terapias biológicas frente a placebo o FAME tradicionales? </w:t>
            </w:r>
          </w:p>
        </w:tc>
      </w:tr>
      <w:tr w:rsidR="006A5FCD" w:rsidRPr="000D2542" w:rsidTr="005F1EE8">
        <w:tc>
          <w:tcPr>
            <w:tcW w:w="1367" w:type="dxa"/>
            <w:shd w:val="clear" w:color="auto" w:fill="F2F2F2"/>
          </w:tcPr>
          <w:p w:rsidR="006A5FCD" w:rsidRDefault="006A5FCD" w:rsidP="0034714E">
            <w:pPr>
              <w:spacing w:before="60" w:after="6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Pregunta 2.2</w:t>
            </w:r>
          </w:p>
        </w:tc>
        <w:tc>
          <w:tcPr>
            <w:tcW w:w="7213" w:type="dxa"/>
          </w:tcPr>
          <w:p w:rsidR="006A5FCD" w:rsidRPr="006E0222" w:rsidRDefault="006E0222" w:rsidP="006E0222">
            <w:pPr>
              <w:spacing w:before="60" w:after="60" w:line="240" w:lineRule="auto"/>
              <w:jc w:val="both"/>
            </w:pPr>
            <w:r>
              <w:t xml:space="preserve">En </w:t>
            </w:r>
            <w:r w:rsidRPr="006E0222">
              <w:t>pacientes con espondiloartritis</w:t>
            </w:r>
            <w:r>
              <w:t xml:space="preserve"> </w:t>
            </w:r>
            <w:r w:rsidR="006A5FCD">
              <w:t>axial no radiológica</w:t>
            </w:r>
            <w:r>
              <w:t>, ¿</w:t>
            </w:r>
            <w:r w:rsidR="006A5FCD">
              <w:t>cuál es la eficacia relativa de los diferentes biológicos?</w:t>
            </w:r>
          </w:p>
        </w:tc>
      </w:tr>
      <w:tr w:rsidR="006A5FCD" w:rsidRPr="000D2542" w:rsidTr="005F1EE8">
        <w:tc>
          <w:tcPr>
            <w:tcW w:w="1367" w:type="dxa"/>
            <w:shd w:val="clear" w:color="auto" w:fill="F2F2F2"/>
          </w:tcPr>
          <w:p w:rsidR="006A5FCD" w:rsidRPr="000D2542" w:rsidRDefault="006A5FCD" w:rsidP="0034714E">
            <w:pPr>
              <w:spacing w:before="60" w:after="6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Pregunta 3</w:t>
            </w:r>
          </w:p>
        </w:tc>
        <w:tc>
          <w:tcPr>
            <w:tcW w:w="7213" w:type="dxa"/>
          </w:tcPr>
          <w:p w:rsidR="006A5FCD" w:rsidRDefault="006E0222" w:rsidP="0034714E">
            <w:pPr>
              <w:spacing w:before="60" w:after="60" w:line="240" w:lineRule="auto"/>
              <w:jc w:val="both"/>
            </w:pPr>
            <w:r w:rsidRPr="006E0222">
              <w:t>En pacientes con espondiloartritis axial, ¿se puede suspender el tratamiento con terapia anti-TNF? ¿Se puede reducir el tratamiento con terapia anti-TNF?</w:t>
            </w:r>
          </w:p>
        </w:tc>
      </w:tr>
      <w:tr w:rsidR="006A5FCD" w:rsidRPr="000D2542" w:rsidTr="005F1EE8">
        <w:tc>
          <w:tcPr>
            <w:tcW w:w="1367" w:type="dxa"/>
            <w:shd w:val="clear" w:color="auto" w:fill="F2F2F2"/>
          </w:tcPr>
          <w:p w:rsidR="006A5FCD" w:rsidRPr="000D2542" w:rsidRDefault="006A5FCD" w:rsidP="0034714E">
            <w:pPr>
              <w:spacing w:before="60" w:after="6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Pregunta 4</w:t>
            </w:r>
          </w:p>
        </w:tc>
        <w:tc>
          <w:tcPr>
            <w:tcW w:w="7213" w:type="dxa"/>
          </w:tcPr>
          <w:p w:rsidR="006A5FCD" w:rsidRDefault="006E0222" w:rsidP="0034714E">
            <w:pPr>
              <w:spacing w:before="60" w:after="60" w:line="240" w:lineRule="auto"/>
              <w:jc w:val="both"/>
            </w:pPr>
            <w:r w:rsidRPr="00283688">
              <w:t xml:space="preserve">En pacientes con </w:t>
            </w:r>
            <w:r>
              <w:t>e</w:t>
            </w:r>
            <w:r w:rsidRPr="00283688">
              <w:t xml:space="preserve">spondilitis </w:t>
            </w:r>
            <w:r>
              <w:t>a</w:t>
            </w:r>
            <w:r w:rsidRPr="00283688">
              <w:t>nquilosante</w:t>
            </w:r>
            <w:r>
              <w:t>,</w:t>
            </w:r>
            <w:r w:rsidRPr="00283688">
              <w:t xml:space="preserve"> ¿la educación sanitaria impartida por la enfermera es beneficiosa?</w:t>
            </w:r>
          </w:p>
        </w:tc>
      </w:tr>
      <w:tr w:rsidR="006A5FCD" w:rsidRPr="000D2542" w:rsidTr="008150EB">
        <w:tc>
          <w:tcPr>
            <w:tcW w:w="1367" w:type="dxa"/>
            <w:shd w:val="clear" w:color="auto" w:fill="F2F2F2"/>
          </w:tcPr>
          <w:p w:rsidR="006A5FCD" w:rsidRPr="000D2542" w:rsidRDefault="006A5FCD" w:rsidP="0034714E">
            <w:pPr>
              <w:spacing w:before="60" w:after="6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Pregunta 5</w:t>
            </w:r>
          </w:p>
        </w:tc>
        <w:tc>
          <w:tcPr>
            <w:tcW w:w="7213" w:type="dxa"/>
          </w:tcPr>
          <w:p w:rsidR="006A5FCD" w:rsidRDefault="006E0222" w:rsidP="0034714E">
            <w:pPr>
              <w:spacing w:before="60" w:after="60" w:line="240" w:lineRule="auto"/>
              <w:jc w:val="both"/>
            </w:pPr>
            <w:r w:rsidRPr="008B7B13">
              <w:rPr>
                <w:lang w:val="es-ES_tradnl"/>
              </w:rPr>
              <w:t>La utilización de biológicos en pacientes con EA</w:t>
            </w:r>
            <w:r>
              <w:rPr>
                <w:lang w:val="es-ES_tradnl"/>
              </w:rPr>
              <w:t>, ¿</w:t>
            </w:r>
            <w:r w:rsidRPr="008B7B13">
              <w:rPr>
                <w:lang w:val="es-ES_tradnl"/>
              </w:rPr>
              <w:t xml:space="preserve">disminuye el número de recidivas </w:t>
            </w:r>
            <w:r>
              <w:rPr>
                <w:lang w:val="es-ES_tradnl"/>
              </w:rPr>
              <w:t xml:space="preserve">de uveitis </w:t>
            </w:r>
            <w:r w:rsidRPr="008B7B13">
              <w:rPr>
                <w:lang w:val="es-ES_tradnl"/>
              </w:rPr>
              <w:t xml:space="preserve">y mejora el pronóstico visual en comparación con el </w:t>
            </w:r>
            <w:r w:rsidRPr="008B7B13">
              <w:rPr>
                <w:lang w:val="es-ES_tradnl"/>
              </w:rPr>
              <w:lastRenderedPageBreak/>
              <w:t>empleo de la sulfasalazina?</w:t>
            </w:r>
          </w:p>
        </w:tc>
      </w:tr>
      <w:tr w:rsidR="006A5FCD" w:rsidRPr="000D2542" w:rsidTr="0034714E">
        <w:tc>
          <w:tcPr>
            <w:tcW w:w="1367" w:type="dxa"/>
            <w:shd w:val="clear" w:color="auto" w:fill="F2F2F2"/>
          </w:tcPr>
          <w:p w:rsidR="006A5FCD" w:rsidRDefault="006A5FCD" w:rsidP="0034714E">
            <w:pPr>
              <w:spacing w:before="60" w:after="6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Pregunta 6</w:t>
            </w:r>
          </w:p>
        </w:tc>
        <w:tc>
          <w:tcPr>
            <w:tcW w:w="7213" w:type="dxa"/>
          </w:tcPr>
          <w:p w:rsidR="006A5FCD" w:rsidRDefault="006E0222" w:rsidP="0034714E">
            <w:pPr>
              <w:spacing w:before="60" w:after="60" w:line="240" w:lineRule="auto"/>
              <w:jc w:val="both"/>
              <w:rPr>
                <w:lang w:val="es-ES_tradnl"/>
              </w:rPr>
            </w:pPr>
            <w:r w:rsidRPr="00283688">
              <w:t xml:space="preserve">En los pacientes con </w:t>
            </w:r>
            <w:r>
              <w:t>e</w:t>
            </w:r>
            <w:r w:rsidRPr="00283688">
              <w:t xml:space="preserve">spondilitis </w:t>
            </w:r>
            <w:r>
              <w:t>a</w:t>
            </w:r>
            <w:r w:rsidRPr="00283688">
              <w:t>nquilosante</w:t>
            </w:r>
            <w:r>
              <w:t>,</w:t>
            </w:r>
            <w:r w:rsidRPr="00283688">
              <w:t xml:space="preserve"> </w:t>
            </w:r>
            <w:r w:rsidRPr="008B7B13">
              <w:t>¿qué tipo de programa de ejercicio es más eficaz para mejorar los parámetros clínicos y funcionales?</w:t>
            </w:r>
          </w:p>
        </w:tc>
      </w:tr>
      <w:tr w:rsidR="006A5FCD" w:rsidRPr="000D2542" w:rsidTr="008150EB">
        <w:tc>
          <w:tcPr>
            <w:tcW w:w="1367" w:type="dxa"/>
            <w:tcBorders>
              <w:bottom w:val="single" w:sz="12" w:space="0" w:color="4F81BD"/>
            </w:tcBorders>
            <w:shd w:val="clear" w:color="auto" w:fill="F2F2F2"/>
          </w:tcPr>
          <w:p w:rsidR="006A5FCD" w:rsidRDefault="006A5FCD" w:rsidP="0034714E">
            <w:pPr>
              <w:spacing w:before="60" w:after="6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Pregunta 7 </w:t>
            </w:r>
          </w:p>
        </w:tc>
        <w:tc>
          <w:tcPr>
            <w:tcW w:w="7213" w:type="dxa"/>
            <w:tcBorders>
              <w:bottom w:val="single" w:sz="12" w:space="0" w:color="4F81BD"/>
            </w:tcBorders>
          </w:tcPr>
          <w:p w:rsidR="006A5FCD" w:rsidRDefault="006E0222" w:rsidP="0034714E">
            <w:pPr>
              <w:spacing w:before="60" w:after="60" w:line="240" w:lineRule="auto"/>
              <w:jc w:val="both"/>
            </w:pPr>
            <w:r w:rsidRPr="00CA5AB5">
              <w:t>En pacientes con espondiloartritis axial</w:t>
            </w:r>
            <w:r>
              <w:t>,</w:t>
            </w:r>
            <w:r w:rsidRPr="00CA5AB5">
              <w:t xml:space="preserve"> ¿</w:t>
            </w:r>
            <w:r>
              <w:t>e</w:t>
            </w:r>
            <w:r w:rsidRPr="00CA5AB5">
              <w:t>l tabaco empeora las manifestaciones clínicas (artritis, afectación axial, entesitis, daño estructural)?</w:t>
            </w:r>
          </w:p>
        </w:tc>
      </w:tr>
    </w:tbl>
    <w:p w:rsidR="006A5FCD" w:rsidRPr="00C0419C" w:rsidRDefault="006A5FCD" w:rsidP="00961D3A">
      <w:pPr>
        <w:spacing w:after="0"/>
        <w:jc w:val="both"/>
      </w:pPr>
    </w:p>
    <w:p w:rsidR="006A5FCD" w:rsidRDefault="006A5FCD" w:rsidP="00FD4D2A">
      <w:pPr>
        <w:jc w:val="both"/>
        <w:rPr>
          <w:lang w:val="es-ES_tradnl"/>
        </w:rPr>
      </w:pPr>
      <w:r>
        <w:rPr>
          <w:lang w:val="es-ES_tradnl"/>
        </w:rPr>
        <w:t>Este consenso se centrará principalmente en el uso (eficacia y seguridad) de los agentes biológicos actualmente disponibles en España para el tratamiento de las EspA axiales, en pacientes adultos, en el ámbito de atención especializada. Está</w:t>
      </w:r>
      <w:r w:rsidR="006E0222">
        <w:rPr>
          <w:lang w:val="es-ES_tradnl"/>
        </w:rPr>
        <w:t>n</w:t>
      </w:r>
      <w:r>
        <w:rPr>
          <w:lang w:val="es-ES_tradnl"/>
        </w:rPr>
        <w:t xml:space="preserve"> previst</w:t>
      </w:r>
      <w:r w:rsidR="006E0222">
        <w:rPr>
          <w:lang w:val="es-ES_tradnl"/>
        </w:rPr>
        <w:t>as</w:t>
      </w:r>
      <w:r>
        <w:rPr>
          <w:lang w:val="es-ES_tradnl"/>
        </w:rPr>
        <w:t xml:space="preserve">, al menos, tres reuniones de trabajo a lo largo del desarrollo del proyecto. </w:t>
      </w:r>
    </w:p>
    <w:p w:rsidR="006A5FCD" w:rsidRDefault="006A5FCD" w:rsidP="00A84D59">
      <w:pPr>
        <w:spacing w:beforeLines="60" w:afterLines="60"/>
        <w:jc w:val="both"/>
        <w:rPr>
          <w:lang w:val="es-ES_tradnl"/>
        </w:rPr>
      </w:pPr>
      <w:r>
        <w:rPr>
          <w:lang w:val="es-ES_tradnl"/>
        </w:rPr>
        <w:t>A continuación se presenta</w:t>
      </w:r>
      <w:r w:rsidR="00450B50">
        <w:rPr>
          <w:lang w:val="es-ES_tradnl"/>
        </w:rPr>
        <w:t>n</w:t>
      </w:r>
      <w:r>
        <w:rPr>
          <w:lang w:val="es-ES_tradnl"/>
        </w:rPr>
        <w:t xml:space="preserve">, en líneas generales, las etapas del proyecto y un breve cronograma: </w:t>
      </w:r>
    </w:p>
    <w:p w:rsidR="006A5FCD" w:rsidRDefault="006A5FCD" w:rsidP="00AA256C">
      <w:pPr>
        <w:pStyle w:val="Prrafodelista"/>
        <w:numPr>
          <w:ilvl w:val="0"/>
          <w:numId w:val="2"/>
        </w:numPr>
        <w:spacing w:after="0"/>
        <w:jc w:val="both"/>
        <w:rPr>
          <w:lang w:val="es-ES_tradnl"/>
        </w:rPr>
      </w:pPr>
      <w:r>
        <w:rPr>
          <w:lang w:val="es-ES_tradnl"/>
        </w:rPr>
        <w:t>Determinar, a partir del documento de Consenso del 2010, las recomendaciones vigentes, obsoletas o que requieran ser actualizadas.</w:t>
      </w:r>
    </w:p>
    <w:p w:rsidR="006A5FCD" w:rsidRPr="00463158" w:rsidRDefault="006A5FCD" w:rsidP="001F7109">
      <w:pPr>
        <w:pStyle w:val="Prrafodelista"/>
        <w:numPr>
          <w:ilvl w:val="0"/>
          <w:numId w:val="2"/>
        </w:numPr>
        <w:spacing w:after="0"/>
        <w:jc w:val="both"/>
        <w:rPr>
          <w:lang w:val="es-ES_tradnl"/>
        </w:rPr>
      </w:pPr>
      <w:r w:rsidRPr="00463158">
        <w:rPr>
          <w:lang w:val="es-ES_tradnl"/>
        </w:rPr>
        <w:t>Desarrollar y detallar, en caso necesario</w:t>
      </w:r>
      <w:r>
        <w:rPr>
          <w:lang w:val="es-ES_tradnl"/>
        </w:rPr>
        <w:t xml:space="preserve">, nuevas preguntas PICO para complementar las ya planteadas en la actualización de la </w:t>
      </w:r>
      <w:proofErr w:type="spellStart"/>
      <w:r>
        <w:rPr>
          <w:lang w:val="es-ES_tradnl"/>
        </w:rPr>
        <w:t>Espoguía</w:t>
      </w:r>
      <w:proofErr w:type="spellEnd"/>
      <w:r w:rsidRPr="00463158">
        <w:rPr>
          <w:lang w:val="es-ES_tradnl"/>
        </w:rPr>
        <w:t xml:space="preserve">. </w:t>
      </w:r>
    </w:p>
    <w:p w:rsidR="006A5FCD" w:rsidRDefault="006A5FCD" w:rsidP="00D75619">
      <w:pPr>
        <w:pStyle w:val="Prrafodelista"/>
        <w:numPr>
          <w:ilvl w:val="0"/>
          <w:numId w:val="2"/>
        </w:numPr>
        <w:spacing w:after="0"/>
        <w:jc w:val="both"/>
        <w:rPr>
          <w:lang w:val="es-ES_tradnl"/>
        </w:rPr>
      </w:pPr>
      <w:r w:rsidRPr="00432502">
        <w:rPr>
          <w:lang w:val="es-ES_tradnl"/>
        </w:rPr>
        <w:t>Desarrollo de las RS establecidas para responder a las nuevas PICO adicionales</w:t>
      </w:r>
      <w:r w:rsidR="00273577">
        <w:rPr>
          <w:lang w:val="es-ES_tradnl"/>
        </w:rPr>
        <w:t xml:space="preserve"> (en caso de que se plantee alguna nueva pregunta).</w:t>
      </w:r>
      <w:r w:rsidRPr="00432502">
        <w:rPr>
          <w:lang w:val="es-ES_tradnl"/>
        </w:rPr>
        <w:t xml:space="preserve"> </w:t>
      </w:r>
    </w:p>
    <w:p w:rsidR="006A5FCD" w:rsidRPr="00432502" w:rsidRDefault="006A5FCD" w:rsidP="00D75619">
      <w:pPr>
        <w:pStyle w:val="Prrafodelista"/>
        <w:numPr>
          <w:ilvl w:val="0"/>
          <w:numId w:val="2"/>
        </w:numPr>
        <w:spacing w:after="0"/>
        <w:jc w:val="both"/>
        <w:rPr>
          <w:lang w:val="es-ES_tradnl"/>
        </w:rPr>
      </w:pPr>
      <w:r w:rsidRPr="00432502">
        <w:rPr>
          <w:lang w:val="es-ES_tradnl"/>
        </w:rPr>
        <w:t>Elaboración de las recomendaciones derivadas de las RS, o en ausencia de evidencia, elaboración de recomendaciones basadas en la opinión de expertos del grupo elaborador.</w:t>
      </w:r>
    </w:p>
    <w:p w:rsidR="006A5FCD" w:rsidRDefault="006A5FCD" w:rsidP="00AA256C">
      <w:pPr>
        <w:pStyle w:val="Prrafodelista"/>
        <w:numPr>
          <w:ilvl w:val="0"/>
          <w:numId w:val="2"/>
        </w:numPr>
        <w:spacing w:after="0"/>
        <w:ind w:left="1060" w:hanging="357"/>
        <w:jc w:val="both"/>
        <w:rPr>
          <w:lang w:val="es-ES_tradnl"/>
        </w:rPr>
      </w:pPr>
      <w:r>
        <w:rPr>
          <w:lang w:val="es-ES_tradnl"/>
        </w:rPr>
        <w:t>Consensuar y establecer el grado de acuerdo de las recomendaciones elaboradas mediante proceso Delphi.</w:t>
      </w:r>
    </w:p>
    <w:p w:rsidR="006A5FCD" w:rsidRDefault="006A5FCD" w:rsidP="00AA256C">
      <w:pPr>
        <w:pStyle w:val="Prrafodelista"/>
        <w:numPr>
          <w:ilvl w:val="0"/>
          <w:numId w:val="2"/>
        </w:numPr>
        <w:spacing w:after="0"/>
        <w:ind w:left="1060" w:hanging="357"/>
        <w:jc w:val="both"/>
        <w:rPr>
          <w:lang w:val="es-ES_tradnl"/>
        </w:rPr>
      </w:pPr>
      <w:r>
        <w:rPr>
          <w:lang w:val="es-ES_tradnl"/>
        </w:rPr>
        <w:t xml:space="preserve">Presentar recomendaciones en el </w:t>
      </w:r>
      <w:r w:rsidR="006E0222">
        <w:rPr>
          <w:lang w:val="es-ES_tradnl"/>
        </w:rPr>
        <w:t xml:space="preserve">Congreso Nacional de los </w:t>
      </w:r>
      <w:r w:rsidR="006E0222" w:rsidRPr="006E0222">
        <w:rPr>
          <w:lang w:val="es-ES_tradnl"/>
        </w:rPr>
        <w:t>días 18 al 21 de mayo de 2016</w:t>
      </w:r>
      <w:r w:rsidR="00191F94">
        <w:rPr>
          <w:lang w:val="es-ES_tradnl"/>
        </w:rPr>
        <w:t>, en Barcelona</w:t>
      </w:r>
      <w:r w:rsidRPr="006E0222">
        <w:rPr>
          <w:lang w:val="es-ES_tradnl"/>
        </w:rPr>
        <w:t>.</w:t>
      </w:r>
    </w:p>
    <w:p w:rsidR="006A5FCD" w:rsidRDefault="006A5FCD" w:rsidP="00AA256C">
      <w:pPr>
        <w:pStyle w:val="Prrafodelista"/>
        <w:numPr>
          <w:ilvl w:val="0"/>
          <w:numId w:val="2"/>
        </w:numPr>
        <w:ind w:left="1060" w:hanging="357"/>
        <w:jc w:val="both"/>
        <w:rPr>
          <w:lang w:val="es-ES_tradnl"/>
        </w:rPr>
      </w:pPr>
      <w:r>
        <w:rPr>
          <w:lang w:val="es-ES_tradnl"/>
        </w:rPr>
        <w:t>Preparación y edición del consenso para su posterior publicación.</w:t>
      </w:r>
    </w:p>
    <w:tbl>
      <w:tblPr>
        <w:tblW w:w="8505" w:type="dxa"/>
        <w:tblInd w:w="137" w:type="dxa"/>
        <w:tblCellMar>
          <w:left w:w="70" w:type="dxa"/>
          <w:right w:w="70" w:type="dxa"/>
        </w:tblCellMar>
        <w:tblLook w:val="00A0"/>
      </w:tblPr>
      <w:tblGrid>
        <w:gridCol w:w="2378"/>
        <w:gridCol w:w="283"/>
        <w:gridCol w:w="284"/>
        <w:gridCol w:w="284"/>
        <w:gridCol w:w="283"/>
        <w:gridCol w:w="567"/>
        <w:gridCol w:w="567"/>
        <w:gridCol w:w="567"/>
        <w:gridCol w:w="567"/>
        <w:gridCol w:w="599"/>
        <w:gridCol w:w="709"/>
        <w:gridCol w:w="708"/>
        <w:gridCol w:w="709"/>
      </w:tblGrid>
      <w:tr w:rsidR="00A05D30" w:rsidRPr="00DB765F" w:rsidTr="00A05D30">
        <w:trPr>
          <w:trHeight w:val="30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FASES-CONSENSO TB en EspA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A05D30" w:rsidRPr="00DB765F" w:rsidRDefault="00A05D30" w:rsidP="00FA0975">
            <w:pPr>
              <w:spacing w:after="0" w:line="240" w:lineRule="auto"/>
              <w:ind w:left="-113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jul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A05D30" w:rsidRPr="00DB765F" w:rsidRDefault="00A05D30" w:rsidP="006E0222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sep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A05D30" w:rsidRPr="00DB765F" w:rsidRDefault="00A05D30" w:rsidP="006E0222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oct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A05D30" w:rsidRPr="00DB765F" w:rsidRDefault="00A05D30" w:rsidP="006E0222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A05D30" w:rsidRPr="00DB765F" w:rsidRDefault="00A05D30" w:rsidP="006E0222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dic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A05D30" w:rsidRPr="00DB765F" w:rsidRDefault="00A05D30" w:rsidP="006E0222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ene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:rsidR="00A05D30" w:rsidRDefault="00A05D30" w:rsidP="006E0222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  <w:p w:rsidR="00A05D30" w:rsidRPr="00DB765F" w:rsidRDefault="00A05D30" w:rsidP="00A05D30">
            <w:pPr>
              <w:spacing w:after="0" w:line="240" w:lineRule="auto"/>
              <w:ind w:left="-113"/>
              <w:jc w:val="center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1-feb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A05D30" w:rsidRPr="00DB765F" w:rsidRDefault="00A05D30" w:rsidP="006E0222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mar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A05D30" w:rsidRPr="00DB765F" w:rsidRDefault="00A05D30" w:rsidP="00A05D30">
            <w:pPr>
              <w:spacing w:after="0" w:line="240" w:lineRule="auto"/>
              <w:ind w:left="-113"/>
              <w:jc w:val="center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abr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A05D30" w:rsidRPr="00DB765F" w:rsidRDefault="00A05D30" w:rsidP="006E0222">
            <w:pPr>
              <w:spacing w:after="0" w:line="240" w:lineRule="auto"/>
              <w:ind w:left="-113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5</w:t>
            </w: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may</w:t>
            </w:r>
          </w:p>
        </w:tc>
      </w:tr>
      <w:tr w:rsidR="00FA0975" w:rsidRPr="00DB765F" w:rsidTr="00FA0975">
        <w:trPr>
          <w:trHeight w:val="5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975" w:rsidRPr="00DB765F" w:rsidRDefault="00FA0975" w:rsidP="00450B5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es-ES"/>
              </w:rPr>
            </w:pPr>
            <w:r w:rsidRPr="00DB765F">
              <w:rPr>
                <w:rFonts w:cs="Times New Roman"/>
                <w:color w:val="000000"/>
                <w:sz w:val="20"/>
                <w:szCs w:val="20"/>
                <w:lang w:eastAsia="es-ES"/>
              </w:rPr>
              <w:t>Determinar áreas de actualización, PICO y RS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0975" w:rsidRPr="00DB765F" w:rsidRDefault="00FA0975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FA0975" w:rsidRPr="00DB765F" w:rsidRDefault="00FA0975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FA0975" w:rsidRPr="00DB765F" w:rsidRDefault="00FA0975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975" w:rsidRPr="00DB765F" w:rsidRDefault="00FA0975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75" w:rsidRPr="00DB765F" w:rsidRDefault="00FA0975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75" w:rsidRPr="00DB765F" w:rsidRDefault="00FA0975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75" w:rsidRPr="00DB765F" w:rsidRDefault="00FA0975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75" w:rsidRPr="00DB765F" w:rsidRDefault="00FA0975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975" w:rsidRPr="00DB765F" w:rsidRDefault="00FA0975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75" w:rsidRPr="00DB765F" w:rsidRDefault="00FA0975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75" w:rsidRPr="00DB765F" w:rsidRDefault="00FA0975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75" w:rsidRPr="00DB765F" w:rsidRDefault="00FA0975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A05D30" w:rsidRPr="00DB765F" w:rsidTr="00A05D30">
        <w:trPr>
          <w:trHeight w:val="303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191F94">
            <w:pPr>
              <w:spacing w:before="120" w:after="120" w:line="240" w:lineRule="auto"/>
              <w:rPr>
                <w:rFonts w:cs="Times New Roman"/>
                <w:color w:val="000000"/>
                <w:sz w:val="20"/>
                <w:szCs w:val="20"/>
                <w:lang w:eastAsia="es-ES"/>
              </w:rPr>
            </w:pPr>
            <w:r w:rsidRPr="00DB765F">
              <w:rPr>
                <w:rFonts w:cs="Times New Roman"/>
                <w:color w:val="000000"/>
                <w:sz w:val="20"/>
                <w:szCs w:val="20"/>
                <w:lang w:eastAsia="es-ES"/>
              </w:rPr>
              <w:t>Est</w:t>
            </w:r>
            <w:r>
              <w:rPr>
                <w:rFonts w:cs="Times New Roman"/>
                <w:color w:val="000000"/>
                <w:sz w:val="20"/>
                <w:szCs w:val="20"/>
                <w:lang w:eastAsia="es-ES"/>
              </w:rPr>
              <w:t>r</w:t>
            </w:r>
            <w:r w:rsidRPr="00DB765F">
              <w:rPr>
                <w:rFonts w:cs="Times New Roman"/>
                <w:color w:val="000000"/>
                <w:sz w:val="20"/>
                <w:szCs w:val="20"/>
                <w:lang w:eastAsia="es-ES"/>
              </w:rPr>
              <w:t>ategias de búsqueda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A05D30" w:rsidRPr="00DB765F" w:rsidTr="00A05D30">
        <w:trPr>
          <w:trHeight w:val="59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es-ES"/>
              </w:rPr>
            </w:pPr>
            <w:r w:rsidRPr="00DB765F">
              <w:rPr>
                <w:rFonts w:cs="Times New Roman"/>
                <w:color w:val="000000"/>
                <w:sz w:val="20"/>
                <w:szCs w:val="20"/>
                <w:lang w:eastAsia="es-ES"/>
              </w:rPr>
              <w:t>Lectura crítica y redacción informe de RS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A05D30" w:rsidRPr="00DB765F" w:rsidTr="00A05D30">
        <w:trPr>
          <w:trHeight w:val="5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es-ES"/>
              </w:rPr>
            </w:pPr>
            <w:r w:rsidRPr="00DB765F">
              <w:rPr>
                <w:rFonts w:cs="Times New Roman"/>
                <w:color w:val="000000"/>
                <w:sz w:val="20"/>
                <w:szCs w:val="20"/>
                <w:lang w:eastAsia="es-ES"/>
              </w:rPr>
              <w:t xml:space="preserve">Revisión </w:t>
            </w:r>
            <w:r w:rsidR="00450B50">
              <w:rPr>
                <w:rFonts w:cs="Times New Roman"/>
                <w:color w:val="000000"/>
                <w:sz w:val="20"/>
                <w:szCs w:val="20"/>
                <w:lang w:eastAsia="es-ES"/>
              </w:rPr>
              <w:t xml:space="preserve">de </w:t>
            </w:r>
            <w:r w:rsidRPr="00DB765F">
              <w:rPr>
                <w:rFonts w:cs="Times New Roman"/>
                <w:color w:val="000000"/>
                <w:sz w:val="20"/>
                <w:szCs w:val="20"/>
                <w:lang w:eastAsia="es-ES"/>
              </w:rPr>
              <w:t>RS y redacción de las recomendaciones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DB765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A05D30" w:rsidRPr="00DB765F" w:rsidTr="00A05D30">
        <w:trPr>
          <w:trHeight w:val="303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Default="00A05D30" w:rsidP="00BB11DB">
            <w:pPr>
              <w:spacing w:before="120" w:after="0" w:line="240" w:lineRule="auto"/>
              <w:rPr>
                <w:rFonts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s-ES"/>
              </w:rPr>
              <w:t xml:space="preserve">Delphi (1ª y </w:t>
            </w:r>
            <w:r w:rsidRPr="00DB765F">
              <w:rPr>
                <w:rFonts w:cs="Times New Roman"/>
                <w:color w:val="000000"/>
                <w:sz w:val="20"/>
                <w:szCs w:val="20"/>
                <w:lang w:eastAsia="es-ES"/>
              </w:rPr>
              <w:t>2ª ronda</w:t>
            </w:r>
            <w:r>
              <w:rPr>
                <w:rFonts w:cs="Times New Roman"/>
                <w:color w:val="000000"/>
                <w:sz w:val="20"/>
                <w:szCs w:val="20"/>
                <w:lang w:eastAsia="es-ES"/>
              </w:rPr>
              <w:t>)</w:t>
            </w:r>
          </w:p>
          <w:p w:rsidR="00BB11DB" w:rsidRPr="00BB11DB" w:rsidRDefault="00BB11DB" w:rsidP="00AA25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A05D30" w:rsidRPr="00DB765F" w:rsidTr="00A05D30">
        <w:trPr>
          <w:trHeight w:val="303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6E02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s-ES"/>
              </w:rPr>
              <w:t>Presentación recomendaciones en el Congreso Nacional - Barcelona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A05D30" w:rsidRPr="00DB765F" w:rsidRDefault="00A05D30" w:rsidP="00AA256C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:rsidR="00450B50" w:rsidRDefault="00450B50" w:rsidP="00207694">
      <w:pPr>
        <w:rPr>
          <w:b/>
          <w:bCs/>
          <w:sz w:val="28"/>
          <w:szCs w:val="28"/>
        </w:rPr>
      </w:pPr>
    </w:p>
    <w:p w:rsidR="006A5FCD" w:rsidRDefault="006A5FCD" w:rsidP="00207694">
      <w:pPr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3. Panel de expertos para el desarrollo del proyecto</w:t>
      </w:r>
    </w:p>
    <w:p w:rsidR="006A5FCD" w:rsidRDefault="006A5FCD" w:rsidP="00841C8B">
      <w:pPr>
        <w:spacing w:before="60" w:after="60"/>
        <w:jc w:val="both"/>
        <w:rPr>
          <w:lang w:val="es-ES_tradnl"/>
        </w:rPr>
      </w:pPr>
      <w:r w:rsidRPr="00463158">
        <w:rPr>
          <w:lang w:val="es-ES_tradnl"/>
        </w:rPr>
        <w:lastRenderedPageBreak/>
        <w:t xml:space="preserve">Para el desarrollo de este proyecto se requiere de la participación y colaboración de </w:t>
      </w:r>
      <w:r w:rsidRPr="00A84D59">
        <w:rPr>
          <w:b/>
          <w:color w:val="1F497D" w:themeColor="text2"/>
          <w:u w:val="single"/>
          <w:lang w:val="es-ES_tradnl"/>
        </w:rPr>
        <w:t>7 socios</w:t>
      </w:r>
      <w:r w:rsidRPr="00A84D59">
        <w:rPr>
          <w:color w:val="1F497D" w:themeColor="text2"/>
          <w:lang w:val="es-ES_tradnl"/>
        </w:rPr>
        <w:t xml:space="preserve"> </w:t>
      </w:r>
      <w:r>
        <w:rPr>
          <w:lang w:val="es-ES_tradnl"/>
        </w:rPr>
        <w:t>reumatólogos</w:t>
      </w:r>
      <w:r w:rsidR="00450B50">
        <w:rPr>
          <w:lang w:val="es-ES_tradnl"/>
        </w:rPr>
        <w:t>,</w:t>
      </w:r>
      <w:r>
        <w:rPr>
          <w:lang w:val="es-ES_tradnl"/>
        </w:rPr>
        <w:t xml:space="preserve"> </w:t>
      </w:r>
      <w:r w:rsidRPr="00463158">
        <w:rPr>
          <w:lang w:val="es-ES_tradnl"/>
        </w:rPr>
        <w:t xml:space="preserve">expertos en </w:t>
      </w:r>
      <w:r>
        <w:rPr>
          <w:lang w:val="es-ES_tradnl"/>
        </w:rPr>
        <w:t>EA</w:t>
      </w:r>
      <w:r w:rsidR="00450B50">
        <w:rPr>
          <w:lang w:val="es-ES_tradnl"/>
        </w:rPr>
        <w:t>,</w:t>
      </w:r>
      <w:r w:rsidRPr="00463158">
        <w:rPr>
          <w:lang w:val="es-ES_tradnl"/>
        </w:rPr>
        <w:t xml:space="preserve"> de la SER. Los expertos seleccionados estarán bajo la dirección del Dr. </w:t>
      </w:r>
      <w:r>
        <w:t>Jordi Gratacós</w:t>
      </w:r>
      <w:r w:rsidR="00450B50">
        <w:t>,</w:t>
      </w:r>
      <w:r w:rsidRPr="00463158">
        <w:t xml:space="preserve"> IP designado por el Comité de GPC y Consensos de la SER</w:t>
      </w:r>
      <w:r>
        <w:t>,</w:t>
      </w:r>
      <w:r w:rsidRPr="00463158">
        <w:t xml:space="preserve"> con anterioridad a la entrada en vigor de la norma actual.</w:t>
      </w:r>
      <w:r>
        <w:rPr>
          <w:lang w:val="es-ES_tradnl"/>
        </w:rPr>
        <w:t xml:space="preserve"> </w:t>
      </w:r>
    </w:p>
    <w:p w:rsidR="006A5FCD" w:rsidRDefault="006A5FCD" w:rsidP="0090478F">
      <w:pPr>
        <w:spacing w:before="60"/>
        <w:jc w:val="both"/>
        <w:rPr>
          <w:lang w:val="es-ES_tradnl"/>
        </w:rPr>
      </w:pPr>
      <w:r>
        <w:rPr>
          <w:lang w:val="es-ES_tradnl"/>
        </w:rPr>
        <w:t xml:space="preserve">Participar en un panel experto requiere de una serie de competencias, además de la adquisición de una serie de compromisos a cumplir (ver tabla 2). </w:t>
      </w:r>
    </w:p>
    <w:p w:rsidR="006A5FCD" w:rsidRPr="0090478F" w:rsidRDefault="006A5FCD" w:rsidP="0090478F">
      <w:pPr>
        <w:spacing w:before="60" w:after="60"/>
        <w:jc w:val="both"/>
        <w:rPr>
          <w:lang w:val="es-ES_tradnl"/>
        </w:rPr>
      </w:pPr>
      <w:r w:rsidRPr="00450F04">
        <w:rPr>
          <w:b/>
          <w:bCs/>
          <w:color w:val="4F81BD"/>
          <w:lang w:val="es-ES_tradnl"/>
        </w:rPr>
        <w:t>Tabla 2</w:t>
      </w:r>
      <w:r>
        <w:rPr>
          <w:b/>
          <w:bCs/>
          <w:color w:val="4F81BD"/>
          <w:lang w:val="es-ES_tradnl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2" w:space="0" w:color="4F81BD"/>
        </w:tblBorders>
        <w:tblLook w:val="00A0"/>
      </w:tblPr>
      <w:tblGrid>
        <w:gridCol w:w="1932"/>
        <w:gridCol w:w="6648"/>
      </w:tblGrid>
      <w:tr w:rsidR="006A5FCD" w:rsidRPr="000D2542" w:rsidTr="00DC6661">
        <w:tc>
          <w:tcPr>
            <w:tcW w:w="1932" w:type="dxa"/>
            <w:shd w:val="clear" w:color="auto" w:fill="F2F2F2"/>
          </w:tcPr>
          <w:p w:rsidR="006A5FCD" w:rsidRPr="000D2542" w:rsidRDefault="006A5FCD" w:rsidP="00450F04">
            <w:pPr>
              <w:spacing w:before="60" w:after="60" w:line="240" w:lineRule="auto"/>
              <w:rPr>
                <w:lang w:val="es-ES_tradnl"/>
              </w:rPr>
            </w:pPr>
          </w:p>
        </w:tc>
        <w:tc>
          <w:tcPr>
            <w:tcW w:w="6648" w:type="dxa"/>
            <w:shd w:val="clear" w:color="auto" w:fill="F2F2F2"/>
          </w:tcPr>
          <w:p w:rsidR="006A5FCD" w:rsidRPr="000D2542" w:rsidRDefault="006A5FCD" w:rsidP="00450F04">
            <w:pPr>
              <w:spacing w:before="60" w:after="60" w:line="240" w:lineRule="auto"/>
              <w:jc w:val="center"/>
              <w:rPr>
                <w:lang w:val="es-ES_tradnl"/>
              </w:rPr>
            </w:pPr>
            <w:r w:rsidRPr="000D2542">
              <w:rPr>
                <w:lang w:val="es-ES_tradnl"/>
              </w:rPr>
              <w:t>Panelistas</w:t>
            </w:r>
          </w:p>
        </w:tc>
      </w:tr>
      <w:tr w:rsidR="006A5FCD" w:rsidRPr="000D2542" w:rsidTr="00DC6661">
        <w:tc>
          <w:tcPr>
            <w:tcW w:w="1932" w:type="dxa"/>
            <w:vMerge w:val="restart"/>
            <w:tcBorders>
              <w:bottom w:val="single" w:sz="2" w:space="0" w:color="4F81BD"/>
            </w:tcBorders>
            <w:shd w:val="clear" w:color="auto" w:fill="F2F2F2"/>
            <w:vAlign w:val="center"/>
          </w:tcPr>
          <w:p w:rsidR="006A5FCD" w:rsidRPr="000D2542" w:rsidRDefault="006A5FCD" w:rsidP="00450F04">
            <w:pPr>
              <w:spacing w:before="60" w:after="60" w:line="240" w:lineRule="auto"/>
              <w:jc w:val="center"/>
              <w:rPr>
                <w:lang w:val="es-ES_tradnl"/>
              </w:rPr>
            </w:pPr>
            <w:r w:rsidRPr="000D2542">
              <w:rPr>
                <w:lang w:val="es-ES_tradnl"/>
              </w:rPr>
              <w:t>Competencias deseables</w:t>
            </w:r>
          </w:p>
          <w:p w:rsidR="006A5FCD" w:rsidRPr="000D2542" w:rsidRDefault="006A5FCD" w:rsidP="00450F04">
            <w:pPr>
              <w:spacing w:before="60" w:after="60" w:line="240" w:lineRule="auto"/>
              <w:jc w:val="center"/>
              <w:rPr>
                <w:lang w:val="es-ES_tradnl"/>
              </w:rPr>
            </w:pPr>
          </w:p>
        </w:tc>
        <w:tc>
          <w:tcPr>
            <w:tcW w:w="6648" w:type="dxa"/>
            <w:tcBorders>
              <w:bottom w:val="single" w:sz="2" w:space="0" w:color="4F81BD"/>
            </w:tcBorders>
          </w:tcPr>
          <w:p w:rsidR="006A5FCD" w:rsidRPr="000D2542" w:rsidRDefault="006A5FCD" w:rsidP="008471BA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 xml:space="preserve">Profesional sanitario con experiencia clínica e investigadora en </w:t>
            </w:r>
            <w:r>
              <w:rPr>
                <w:sz w:val="21"/>
                <w:szCs w:val="21"/>
                <w:lang w:val="es-ES_tradnl"/>
              </w:rPr>
              <w:t>EA</w:t>
            </w:r>
          </w:p>
        </w:tc>
      </w:tr>
      <w:tr w:rsidR="006A5FCD" w:rsidRPr="000D2542" w:rsidTr="00DC6661">
        <w:tc>
          <w:tcPr>
            <w:tcW w:w="1932" w:type="dxa"/>
            <w:vMerge/>
            <w:tcBorders>
              <w:top w:val="single" w:sz="2" w:space="0" w:color="4F81BD"/>
              <w:bottom w:val="single" w:sz="2" w:space="0" w:color="4F81BD"/>
            </w:tcBorders>
            <w:shd w:val="clear" w:color="auto" w:fill="F2F2F2"/>
          </w:tcPr>
          <w:p w:rsidR="006A5FCD" w:rsidRPr="000D2542" w:rsidRDefault="006A5FCD" w:rsidP="00450F04">
            <w:pPr>
              <w:spacing w:before="60" w:after="60" w:line="240" w:lineRule="auto"/>
              <w:rPr>
                <w:lang w:val="es-ES_tradnl"/>
              </w:rPr>
            </w:pPr>
          </w:p>
        </w:tc>
        <w:tc>
          <w:tcPr>
            <w:tcW w:w="6648" w:type="dxa"/>
            <w:tcBorders>
              <w:top w:val="single" w:sz="2" w:space="0" w:color="4F81BD"/>
              <w:bottom w:val="single" w:sz="2" w:space="0" w:color="4F81BD"/>
            </w:tcBorders>
          </w:tcPr>
          <w:p w:rsidR="006A5FCD" w:rsidRPr="000D2542" w:rsidRDefault="006A5FCD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 xml:space="preserve">Experiencia previa en grupos de trabajo </w:t>
            </w:r>
          </w:p>
        </w:tc>
      </w:tr>
      <w:tr w:rsidR="006A5FCD" w:rsidRPr="000D2542" w:rsidTr="00DC6661">
        <w:tc>
          <w:tcPr>
            <w:tcW w:w="1932" w:type="dxa"/>
            <w:vMerge/>
            <w:tcBorders>
              <w:top w:val="single" w:sz="2" w:space="0" w:color="4F81BD"/>
              <w:bottom w:val="single" w:sz="2" w:space="0" w:color="4F81BD"/>
            </w:tcBorders>
            <w:shd w:val="clear" w:color="auto" w:fill="F2F2F2"/>
          </w:tcPr>
          <w:p w:rsidR="006A5FCD" w:rsidRPr="000D2542" w:rsidRDefault="006A5FCD" w:rsidP="00450F04">
            <w:pPr>
              <w:spacing w:before="60" w:after="60" w:line="240" w:lineRule="auto"/>
              <w:rPr>
                <w:lang w:val="es-ES_tradnl"/>
              </w:rPr>
            </w:pPr>
          </w:p>
        </w:tc>
        <w:tc>
          <w:tcPr>
            <w:tcW w:w="6648" w:type="dxa"/>
            <w:tcBorders>
              <w:top w:val="single" w:sz="2" w:space="0" w:color="4F81BD"/>
              <w:bottom w:val="single" w:sz="2" w:space="0" w:color="4F81BD"/>
            </w:tcBorders>
          </w:tcPr>
          <w:p w:rsidR="006A5FCD" w:rsidRPr="000D2542" w:rsidRDefault="006A5FCD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>Excelentes habilidades en comunicación oral/escrita</w:t>
            </w:r>
          </w:p>
        </w:tc>
      </w:tr>
      <w:tr w:rsidR="006A5FCD" w:rsidRPr="000D2542" w:rsidTr="00DC6661">
        <w:tc>
          <w:tcPr>
            <w:tcW w:w="1932" w:type="dxa"/>
            <w:vMerge/>
            <w:tcBorders>
              <w:top w:val="single" w:sz="2" w:space="0" w:color="4F81BD"/>
              <w:bottom w:val="single" w:sz="2" w:space="0" w:color="4F81BD"/>
            </w:tcBorders>
            <w:shd w:val="clear" w:color="auto" w:fill="F2F2F2"/>
          </w:tcPr>
          <w:p w:rsidR="006A5FCD" w:rsidRPr="000D2542" w:rsidRDefault="006A5FCD" w:rsidP="00450F04">
            <w:pPr>
              <w:spacing w:before="60" w:after="60" w:line="240" w:lineRule="auto"/>
              <w:rPr>
                <w:lang w:val="es-ES_tradnl"/>
              </w:rPr>
            </w:pPr>
          </w:p>
        </w:tc>
        <w:tc>
          <w:tcPr>
            <w:tcW w:w="6648" w:type="dxa"/>
            <w:tcBorders>
              <w:top w:val="single" w:sz="2" w:space="0" w:color="4F81BD"/>
              <w:bottom w:val="single" w:sz="2" w:space="0" w:color="4F81BD"/>
            </w:tcBorders>
          </w:tcPr>
          <w:p w:rsidR="006A5FCD" w:rsidRPr="000D2542" w:rsidRDefault="006A5FCD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>Conocimientos de metodología de elaboración de recomendaciones</w:t>
            </w:r>
          </w:p>
        </w:tc>
      </w:tr>
      <w:tr w:rsidR="006A5FCD" w:rsidRPr="000D2542" w:rsidTr="00DC6661">
        <w:tc>
          <w:tcPr>
            <w:tcW w:w="1932" w:type="dxa"/>
            <w:vMerge/>
            <w:tcBorders>
              <w:top w:val="single" w:sz="2" w:space="0" w:color="4F81BD"/>
              <w:bottom w:val="single" w:sz="2" w:space="0" w:color="4F81BD"/>
            </w:tcBorders>
            <w:shd w:val="clear" w:color="auto" w:fill="F2F2F2"/>
          </w:tcPr>
          <w:p w:rsidR="006A5FCD" w:rsidRPr="000D2542" w:rsidRDefault="006A5FCD" w:rsidP="00450F04">
            <w:pPr>
              <w:spacing w:before="60" w:after="60" w:line="240" w:lineRule="auto"/>
              <w:rPr>
                <w:lang w:val="es-ES_tradnl"/>
              </w:rPr>
            </w:pPr>
          </w:p>
        </w:tc>
        <w:tc>
          <w:tcPr>
            <w:tcW w:w="6648" w:type="dxa"/>
            <w:tcBorders>
              <w:top w:val="single" w:sz="2" w:space="0" w:color="4F81BD"/>
            </w:tcBorders>
          </w:tcPr>
          <w:p w:rsidR="006A5FCD" w:rsidRPr="000D2542" w:rsidRDefault="006A5FCD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>Conocedor de la metodología MBE (RS y lectura crítica)</w:t>
            </w:r>
          </w:p>
        </w:tc>
      </w:tr>
      <w:tr w:rsidR="006A5FCD" w:rsidRPr="000D2542" w:rsidTr="00DC6661">
        <w:tc>
          <w:tcPr>
            <w:tcW w:w="1932" w:type="dxa"/>
            <w:vMerge w:val="restart"/>
            <w:tcBorders>
              <w:bottom w:val="single" w:sz="2" w:space="0" w:color="4F81BD"/>
            </w:tcBorders>
            <w:shd w:val="clear" w:color="auto" w:fill="F2F2F2"/>
            <w:vAlign w:val="center"/>
          </w:tcPr>
          <w:p w:rsidR="006A5FCD" w:rsidRPr="000D2542" w:rsidRDefault="006A5FCD" w:rsidP="00450F04">
            <w:pPr>
              <w:spacing w:before="60" w:after="60" w:line="240" w:lineRule="auto"/>
              <w:jc w:val="center"/>
              <w:rPr>
                <w:lang w:val="es-ES_tradnl"/>
              </w:rPr>
            </w:pPr>
            <w:r w:rsidRPr="000D2542">
              <w:rPr>
                <w:lang w:val="es-ES_tradnl"/>
              </w:rPr>
              <w:t>Compromisos</w:t>
            </w:r>
          </w:p>
        </w:tc>
        <w:tc>
          <w:tcPr>
            <w:tcW w:w="6648" w:type="dxa"/>
            <w:tcBorders>
              <w:bottom w:val="single" w:sz="2" w:space="0" w:color="4F81BD"/>
            </w:tcBorders>
          </w:tcPr>
          <w:p w:rsidR="006A5FCD" w:rsidRPr="000D2542" w:rsidRDefault="006A5FCD" w:rsidP="006B4E0F">
            <w:pPr>
              <w:spacing w:before="60" w:after="60" w:line="240" w:lineRule="auto"/>
              <w:jc w:val="both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>Compromiso a trabajar en los plazos acordados y de acuerdo a la metodología, de elaboración de recomendaciones, establecida por la SER</w:t>
            </w:r>
          </w:p>
        </w:tc>
      </w:tr>
      <w:tr w:rsidR="006A5FCD" w:rsidRPr="000D2542" w:rsidTr="00DC6661">
        <w:tc>
          <w:tcPr>
            <w:tcW w:w="1932" w:type="dxa"/>
            <w:vMerge/>
            <w:tcBorders>
              <w:top w:val="single" w:sz="2" w:space="0" w:color="4F81BD"/>
              <w:bottom w:val="single" w:sz="2" w:space="0" w:color="4F81BD"/>
            </w:tcBorders>
            <w:shd w:val="clear" w:color="auto" w:fill="F2F2F2"/>
          </w:tcPr>
          <w:p w:rsidR="006A5FCD" w:rsidRPr="000D2542" w:rsidRDefault="006A5FCD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</w:p>
        </w:tc>
        <w:tc>
          <w:tcPr>
            <w:tcW w:w="6648" w:type="dxa"/>
            <w:tcBorders>
              <w:top w:val="single" w:sz="2" w:space="0" w:color="4F81BD"/>
              <w:bottom w:val="single" w:sz="2" w:space="0" w:color="4F81BD"/>
            </w:tcBorders>
          </w:tcPr>
          <w:p w:rsidR="006A5FCD" w:rsidRPr="000D2542" w:rsidRDefault="006A5FCD" w:rsidP="001148D0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 xml:space="preserve">Compromiso a acudir </w:t>
            </w:r>
            <w:r>
              <w:rPr>
                <w:sz w:val="21"/>
                <w:szCs w:val="21"/>
                <w:lang w:val="es-ES_tradnl"/>
              </w:rPr>
              <w:t xml:space="preserve">presencialmente a la sede de la SER , al menos, a dos </w:t>
            </w:r>
            <w:r w:rsidRPr="000D2542">
              <w:rPr>
                <w:sz w:val="21"/>
                <w:szCs w:val="21"/>
                <w:lang w:val="es-ES_tradnl"/>
              </w:rPr>
              <w:t xml:space="preserve">reuniones de trabajo durante la elaboración de </w:t>
            </w:r>
            <w:r>
              <w:rPr>
                <w:sz w:val="21"/>
                <w:szCs w:val="21"/>
                <w:lang w:val="es-ES_tradnl"/>
              </w:rPr>
              <w:t xml:space="preserve">las </w:t>
            </w:r>
            <w:r w:rsidRPr="000D2542">
              <w:rPr>
                <w:sz w:val="21"/>
                <w:szCs w:val="21"/>
                <w:lang w:val="es-ES_tradnl"/>
              </w:rPr>
              <w:t>recomendaciones</w:t>
            </w:r>
          </w:p>
        </w:tc>
      </w:tr>
      <w:tr w:rsidR="006A5FCD" w:rsidRPr="000D2542" w:rsidTr="00DC6661">
        <w:tc>
          <w:tcPr>
            <w:tcW w:w="1932" w:type="dxa"/>
            <w:vMerge/>
            <w:tcBorders>
              <w:top w:val="single" w:sz="2" w:space="0" w:color="4F81BD"/>
              <w:bottom w:val="single" w:sz="2" w:space="0" w:color="4F81BD"/>
            </w:tcBorders>
            <w:shd w:val="clear" w:color="auto" w:fill="F2F2F2"/>
          </w:tcPr>
          <w:p w:rsidR="006A5FCD" w:rsidRPr="000D2542" w:rsidRDefault="006A5FCD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</w:p>
        </w:tc>
        <w:tc>
          <w:tcPr>
            <w:tcW w:w="6648" w:type="dxa"/>
            <w:tcBorders>
              <w:top w:val="single" w:sz="2" w:space="0" w:color="4F81BD"/>
              <w:bottom w:val="single" w:sz="2" w:space="0" w:color="4F81BD"/>
            </w:tcBorders>
          </w:tcPr>
          <w:p w:rsidR="006A5FCD" w:rsidRPr="000D2542" w:rsidRDefault="006A5FCD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 xml:space="preserve">Compromiso a trabajar en estrecha colaboración con el equipo coordinador  </w:t>
            </w:r>
          </w:p>
        </w:tc>
      </w:tr>
      <w:tr w:rsidR="006A5FCD" w:rsidRPr="000D2542" w:rsidTr="00DC6661">
        <w:tc>
          <w:tcPr>
            <w:tcW w:w="1932" w:type="dxa"/>
            <w:vMerge/>
            <w:tcBorders>
              <w:top w:val="single" w:sz="2" w:space="0" w:color="4F81BD"/>
              <w:bottom w:val="single" w:sz="2" w:space="0" w:color="4F81BD"/>
            </w:tcBorders>
            <w:shd w:val="clear" w:color="auto" w:fill="F2F2F2"/>
          </w:tcPr>
          <w:p w:rsidR="006A5FCD" w:rsidRPr="000D2542" w:rsidRDefault="006A5FCD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</w:p>
        </w:tc>
        <w:tc>
          <w:tcPr>
            <w:tcW w:w="6648" w:type="dxa"/>
            <w:tcBorders>
              <w:top w:val="single" w:sz="2" w:space="0" w:color="4F81BD"/>
              <w:bottom w:val="single" w:sz="2" w:space="0" w:color="4F81BD"/>
            </w:tcBorders>
          </w:tcPr>
          <w:p w:rsidR="006A5FCD" w:rsidRPr="000D2542" w:rsidRDefault="006A5FCD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>Compromiso a revisar toda la documentación necesaria</w:t>
            </w:r>
          </w:p>
        </w:tc>
      </w:tr>
      <w:tr w:rsidR="006A5FCD" w:rsidRPr="000D2542" w:rsidTr="00DC6661">
        <w:tc>
          <w:tcPr>
            <w:tcW w:w="1932" w:type="dxa"/>
            <w:vMerge/>
            <w:tcBorders>
              <w:top w:val="single" w:sz="2" w:space="0" w:color="4F81BD"/>
            </w:tcBorders>
            <w:shd w:val="clear" w:color="auto" w:fill="F2F2F2"/>
          </w:tcPr>
          <w:p w:rsidR="006A5FCD" w:rsidRPr="000D2542" w:rsidRDefault="006A5FCD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</w:p>
        </w:tc>
        <w:tc>
          <w:tcPr>
            <w:tcW w:w="6648" w:type="dxa"/>
            <w:tcBorders>
              <w:top w:val="single" w:sz="2" w:space="0" w:color="4F81BD"/>
            </w:tcBorders>
          </w:tcPr>
          <w:p w:rsidR="006A5FCD" w:rsidRPr="000D2542" w:rsidRDefault="006A5FCD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>Compromiso a la r</w:t>
            </w:r>
            <w:r>
              <w:rPr>
                <w:sz w:val="21"/>
                <w:szCs w:val="21"/>
                <w:lang w:val="es-ES_tradnl"/>
              </w:rPr>
              <w:t>edacción de las recomendaciones, de la evidencia que la sustente y entregarla en tiempo.</w:t>
            </w:r>
          </w:p>
        </w:tc>
      </w:tr>
    </w:tbl>
    <w:p w:rsidR="006A5FCD" w:rsidRDefault="006A5FCD" w:rsidP="00DC6661">
      <w:pPr>
        <w:jc w:val="both"/>
      </w:pPr>
    </w:p>
    <w:p w:rsidR="006A5FCD" w:rsidRPr="00A84D59" w:rsidRDefault="006A5FCD" w:rsidP="00A84D59">
      <w:pPr>
        <w:autoSpaceDE w:val="0"/>
        <w:autoSpaceDN w:val="0"/>
        <w:adjustRightInd w:val="0"/>
        <w:spacing w:after="0"/>
        <w:jc w:val="both"/>
      </w:pPr>
      <w:r w:rsidRPr="00463158">
        <w:t>De acuerdo a la normativa de la SER (disponible en:</w:t>
      </w:r>
      <w:r>
        <w:t xml:space="preserve"> </w:t>
      </w:r>
      <w:hyperlink r:id="rId7" w:history="1">
        <w:r w:rsidR="00450B50" w:rsidRPr="00637AAF">
          <w:rPr>
            <w:rStyle w:val="Hipervnculo"/>
            <w:rFonts w:cs="Calibri"/>
          </w:rPr>
          <w:t>http://www.ser.es/ArchivosDESCARGABLES/10_Normas-SER_GPC-Consensos_def.pdf</w:t>
        </w:r>
      </w:hyperlink>
      <w:r w:rsidR="00E1150D">
        <w:t>) s</w:t>
      </w:r>
      <w:r w:rsidRPr="00463158">
        <w:t xml:space="preserve">e exigirá a los miembros de los grupos de trabajo que cumplan con los compromisos que asumen al aceptar participar en la elaboración de </w:t>
      </w:r>
      <w:r>
        <w:t>este</w:t>
      </w:r>
      <w:r w:rsidRPr="00463158">
        <w:t xml:space="preserve"> documento de Consenso (ver tabla 1). La SER interpreta que el incumplimiento injustificado de los mismos, supondrá la auto-exclusión del grupo de trabajo y de la autoría de las publicaciones relacionadas con dicho proyecto. Adicionalmente, esto será tenido en cuenta en convocatorias futuras a otros proyectos.</w:t>
      </w:r>
    </w:p>
    <w:p w:rsidR="00FC669A" w:rsidRDefault="00FC669A" w:rsidP="00693C64">
      <w:pPr>
        <w:rPr>
          <w:b/>
          <w:bCs/>
          <w:sz w:val="28"/>
          <w:szCs w:val="28"/>
          <w:lang w:val="es-ES_tradnl"/>
        </w:rPr>
      </w:pPr>
    </w:p>
    <w:p w:rsidR="006A5FCD" w:rsidRDefault="006A5FCD" w:rsidP="00693C64">
      <w:pPr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4. Solicitud para participar como panelista experto</w:t>
      </w:r>
    </w:p>
    <w:p w:rsidR="006A5FCD" w:rsidRDefault="006A5FCD" w:rsidP="00DE7F73">
      <w:pPr>
        <w:spacing w:before="60" w:after="60"/>
        <w:jc w:val="both"/>
        <w:rPr>
          <w:lang w:val="es-ES_tradnl"/>
        </w:rPr>
      </w:pPr>
      <w:r>
        <w:rPr>
          <w:lang w:val="es-ES_tradnl"/>
        </w:rPr>
        <w:t xml:space="preserve">La selección de panelistas para la elaboración del  documento de Consenso SER, sobre Uso de Terapias Biológicas </w:t>
      </w:r>
      <w:r w:rsidR="00D960D7">
        <w:rPr>
          <w:lang w:val="es-ES_tradnl"/>
        </w:rPr>
        <w:t>en la espondiloartritis axial excluyendo la forma psoriásica</w:t>
      </w:r>
      <w:r>
        <w:rPr>
          <w:bCs/>
          <w:lang w:val="es-ES_tradnl"/>
        </w:rPr>
        <w:t>,</w:t>
      </w:r>
      <w:r>
        <w:rPr>
          <w:lang w:val="es-ES_tradnl"/>
        </w:rPr>
        <w:t xml:space="preserve"> se realizará de acuerdo al procedimiento de la SER disponible en </w:t>
      </w:r>
      <w:hyperlink r:id="rId8" w:history="1">
        <w:r w:rsidR="00E1150D" w:rsidRPr="00637AAF">
          <w:rPr>
            <w:rStyle w:val="Hipervnculo"/>
            <w:rFonts w:cs="Calibri"/>
          </w:rPr>
          <w:t>http://www.ser.es/ArchivosDESCARGABLES/proc_seleccion_lider_panelistas2015_unificado.docx</w:t>
        </w:r>
      </w:hyperlink>
      <w:r>
        <w:rPr>
          <w:lang w:val="es-ES_tradnl"/>
        </w:rPr>
        <w:t xml:space="preserve">. Los interesados en participar deberán remitir a la dirección </w:t>
      </w:r>
      <w:hyperlink r:id="rId9" w:history="1">
        <w:r w:rsidRPr="00C452D3">
          <w:rPr>
            <w:rStyle w:val="Hipervnculo"/>
            <w:rFonts w:cs="Calibri"/>
            <w:lang w:val="es-ES_tradnl"/>
          </w:rPr>
          <w:t>proyectos@ser.es</w:t>
        </w:r>
      </w:hyperlink>
      <w:r>
        <w:rPr>
          <w:lang w:val="es-ES_tradnl"/>
        </w:rPr>
        <w:t xml:space="preserve"> la siguiente documentación </w:t>
      </w:r>
      <w:r w:rsidRPr="00A84D59">
        <w:rPr>
          <w:b/>
          <w:color w:val="0000FF"/>
          <w:lang w:val="es-ES_tradnl"/>
        </w:rPr>
        <w:t>antes del día 1</w:t>
      </w:r>
      <w:r w:rsidR="0047397C" w:rsidRPr="00A84D59">
        <w:rPr>
          <w:b/>
          <w:color w:val="0000FF"/>
          <w:lang w:val="es-ES_tradnl"/>
        </w:rPr>
        <w:t>0</w:t>
      </w:r>
      <w:r w:rsidRPr="00A84D59">
        <w:rPr>
          <w:b/>
          <w:color w:val="0000FF"/>
          <w:lang w:val="es-ES_tradnl"/>
        </w:rPr>
        <w:t xml:space="preserve"> de </w:t>
      </w:r>
      <w:r w:rsidR="0047397C" w:rsidRPr="00A84D59">
        <w:rPr>
          <w:b/>
          <w:color w:val="0000FF"/>
          <w:lang w:val="es-ES_tradnl"/>
        </w:rPr>
        <w:t>Julio</w:t>
      </w:r>
      <w:r>
        <w:rPr>
          <w:lang w:val="es-ES_tradnl"/>
        </w:rPr>
        <w:t>:</w:t>
      </w:r>
    </w:p>
    <w:p w:rsidR="006A5FCD" w:rsidRDefault="006A5FCD" w:rsidP="00026F11">
      <w:pPr>
        <w:spacing w:before="60" w:after="60"/>
        <w:jc w:val="both"/>
        <w:rPr>
          <w:lang w:val="es-ES_tradnl"/>
        </w:rPr>
      </w:pPr>
    </w:p>
    <w:p w:rsidR="00E1150D" w:rsidRPr="00E1150D" w:rsidRDefault="006A5FCD" w:rsidP="00922D74">
      <w:pPr>
        <w:pStyle w:val="Prrafodelista"/>
        <w:numPr>
          <w:ilvl w:val="0"/>
          <w:numId w:val="3"/>
        </w:numPr>
        <w:spacing w:before="60" w:after="60"/>
        <w:jc w:val="both"/>
        <w:rPr>
          <w:lang w:val="es-ES_tradnl"/>
        </w:rPr>
      </w:pPr>
      <w:r w:rsidRPr="00E1150D">
        <w:rPr>
          <w:b/>
          <w:bCs/>
          <w:lang w:val="es-ES_tradnl"/>
        </w:rPr>
        <w:t xml:space="preserve">CV en formato FECIT </w:t>
      </w:r>
      <w:r w:rsidRPr="00E1150D">
        <w:rPr>
          <w:lang w:val="es-ES_tradnl"/>
        </w:rPr>
        <w:t xml:space="preserve">o, alternativamente, CV incluyendo  referencias bibliográficas de las publicaciones de los últimos 5 años o proyectos de investigación de los últimos 5 años </w:t>
      </w:r>
      <w:r w:rsidRPr="00E1150D">
        <w:rPr>
          <w:b/>
          <w:lang w:val="es-ES_tradnl"/>
        </w:rPr>
        <w:t xml:space="preserve">relacionados con la EA </w:t>
      </w:r>
      <w:r w:rsidRPr="00E1150D">
        <w:rPr>
          <w:lang w:val="es-ES_tradnl"/>
        </w:rPr>
        <w:t xml:space="preserve">y listado de méritos según modelo disponible en:  </w:t>
      </w:r>
      <w:hyperlink r:id="rId10" w:history="1">
        <w:r w:rsidR="00E1150D" w:rsidRPr="00E1150D">
          <w:rPr>
            <w:rStyle w:val="Hipervnculo"/>
            <w:rFonts w:cs="Calibri"/>
          </w:rPr>
          <w:t>http://www.ser.es/ArchivosDESCARGABLES/Panelistas/ModeloCV.docx</w:t>
        </w:r>
      </w:hyperlink>
      <w:r w:rsidR="00E1150D">
        <w:t xml:space="preserve"> </w:t>
      </w:r>
    </w:p>
    <w:p w:rsidR="006A5FCD" w:rsidRPr="00E1150D" w:rsidRDefault="006A5FCD" w:rsidP="00E1150D">
      <w:pPr>
        <w:pStyle w:val="Prrafodelista"/>
        <w:numPr>
          <w:ilvl w:val="0"/>
          <w:numId w:val="3"/>
        </w:numPr>
        <w:spacing w:before="60" w:after="60"/>
        <w:jc w:val="both"/>
        <w:rPr>
          <w:lang w:val="es-ES_tradnl"/>
        </w:rPr>
      </w:pPr>
      <w:r w:rsidRPr="00535ADB">
        <w:rPr>
          <w:b/>
          <w:bCs/>
          <w:lang w:val="es-ES_tradnl"/>
        </w:rPr>
        <w:t>Declaración de intereses</w:t>
      </w:r>
      <w:r>
        <w:rPr>
          <w:lang w:val="es-ES_tradnl"/>
        </w:rPr>
        <w:t xml:space="preserve"> (disponible en el siguiente enlace: </w:t>
      </w:r>
      <w:hyperlink r:id="rId11" w:history="1">
        <w:r w:rsidR="00E1150D" w:rsidRPr="00637AAF">
          <w:rPr>
            <w:rStyle w:val="Hipervnculo"/>
            <w:rFonts w:cs="Calibri"/>
          </w:rPr>
          <w:t>http://www.ser.es/ArchivosDESCARGABLES/Panelistas/DI.docx</w:t>
        </w:r>
      </w:hyperlink>
      <w:r w:rsidRPr="00E1150D">
        <w:rPr>
          <w:lang w:val="es-ES_tradnl"/>
        </w:rPr>
        <w:t xml:space="preserve">) cumplimentada y firmada. </w:t>
      </w:r>
    </w:p>
    <w:p w:rsidR="006A5FCD" w:rsidRPr="00551648" w:rsidRDefault="006A5FCD" w:rsidP="003D081F">
      <w:pPr>
        <w:pStyle w:val="Prrafodelista"/>
        <w:spacing w:before="60" w:after="60"/>
        <w:ind w:left="1065"/>
        <w:jc w:val="both"/>
        <w:rPr>
          <w:lang w:val="es-ES_tradnl"/>
        </w:rPr>
      </w:pPr>
      <w:r w:rsidRPr="00551648">
        <w:rPr>
          <w:lang w:val="es-ES_tradnl"/>
        </w:rPr>
        <w:t xml:space="preserve">NOTA: el envío de la </w:t>
      </w:r>
      <w:r w:rsidRPr="00551648">
        <w:rPr>
          <w:b/>
          <w:bCs/>
          <w:lang w:val="es-ES_tradnl"/>
        </w:rPr>
        <w:t>declaración de intereses es obligatorio</w:t>
      </w:r>
      <w:r w:rsidRPr="00551648">
        <w:rPr>
          <w:lang w:val="es-ES_tradnl"/>
        </w:rPr>
        <w:t xml:space="preserve">. Todas las solicitudes recibidas que no incluyan documento de </w:t>
      </w:r>
      <w:r w:rsidRPr="00551648">
        <w:rPr>
          <w:b/>
          <w:bCs/>
          <w:lang w:val="es-ES_tradnl"/>
        </w:rPr>
        <w:t>declaración de intereses cumplimentado y firmado</w:t>
      </w:r>
      <w:r w:rsidRPr="00551648">
        <w:rPr>
          <w:lang w:val="es-ES_tradnl"/>
        </w:rPr>
        <w:t xml:space="preserve"> serán desestimadas.</w:t>
      </w:r>
    </w:p>
    <w:p w:rsidR="006A5FCD" w:rsidRDefault="006A5FCD" w:rsidP="00AA1FDF">
      <w:pPr>
        <w:spacing w:before="60" w:after="60"/>
        <w:jc w:val="both"/>
        <w:rPr>
          <w:lang w:val="es-ES_tradnl"/>
        </w:rPr>
      </w:pPr>
    </w:p>
    <w:p w:rsidR="006A5FCD" w:rsidRDefault="006A5FCD" w:rsidP="00AA1FDF">
      <w:pPr>
        <w:spacing w:before="60" w:after="60"/>
        <w:jc w:val="both"/>
        <w:rPr>
          <w:lang w:val="es-ES_tradnl"/>
        </w:rPr>
      </w:pPr>
      <w:r>
        <w:rPr>
          <w:lang w:val="es-ES_tradnl"/>
        </w:rPr>
        <w:t>Entre las solicitudes recibidas la Comisión de GPC y Consensos de la SER elegirá en un plazo de 15 días a los panelistas participantes en la actualización del Consenso.</w:t>
      </w:r>
    </w:p>
    <w:p w:rsidR="006A5FCD" w:rsidRDefault="006A5FCD" w:rsidP="00AA1FDF">
      <w:pPr>
        <w:spacing w:before="60" w:after="60"/>
        <w:jc w:val="both"/>
        <w:rPr>
          <w:lang w:val="es-ES_tradnl"/>
        </w:rPr>
      </w:pPr>
      <w:r>
        <w:rPr>
          <w:lang w:val="es-ES_tradnl"/>
        </w:rPr>
        <w:t>Los miembros seleccionados recibirán comunicación de la SER sobre su nombramiento y serán anunciados en la página web de la SER.</w:t>
      </w:r>
    </w:p>
    <w:p w:rsidR="006A5FCD" w:rsidRPr="00AA1FDF" w:rsidRDefault="006A5FCD" w:rsidP="00AA1FDF">
      <w:pPr>
        <w:spacing w:before="60" w:after="60"/>
        <w:jc w:val="both"/>
        <w:rPr>
          <w:lang w:val="es-ES_tradnl"/>
        </w:rPr>
      </w:pPr>
    </w:p>
    <w:p w:rsidR="006A5FCD" w:rsidRPr="00C31D8F" w:rsidRDefault="006A5FCD" w:rsidP="00093B43">
      <w:pPr>
        <w:rPr>
          <w:b/>
          <w:bCs/>
          <w:lang w:val="es-ES_tradnl"/>
        </w:rPr>
      </w:pPr>
    </w:p>
    <w:sectPr w:rsidR="006A5FCD" w:rsidRPr="00C31D8F" w:rsidSect="007608C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019" w:rsidRDefault="00F97019" w:rsidP="00C31D8F">
      <w:pPr>
        <w:spacing w:after="0" w:line="240" w:lineRule="auto"/>
      </w:pPr>
      <w:r>
        <w:separator/>
      </w:r>
    </w:p>
  </w:endnote>
  <w:endnote w:type="continuationSeparator" w:id="0">
    <w:p w:rsidR="00F97019" w:rsidRDefault="00F97019" w:rsidP="00C3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CD" w:rsidRDefault="00C35354">
    <w:pPr>
      <w:pStyle w:val="Piedepgina"/>
      <w:jc w:val="right"/>
    </w:pPr>
    <w:r>
      <w:fldChar w:fldCharType="begin"/>
    </w:r>
    <w:r w:rsidR="00FC669A">
      <w:instrText xml:space="preserve"> PAGE   \* MERGEFORMAT </w:instrText>
    </w:r>
    <w:r>
      <w:fldChar w:fldCharType="separate"/>
    </w:r>
    <w:r w:rsidR="00080DD7">
      <w:rPr>
        <w:noProof/>
      </w:rPr>
      <w:t>1</w:t>
    </w:r>
    <w:r>
      <w:rPr>
        <w:noProof/>
      </w:rPr>
      <w:fldChar w:fldCharType="end"/>
    </w:r>
  </w:p>
  <w:p w:rsidR="006A5FCD" w:rsidRDefault="006A5FC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019" w:rsidRDefault="00F97019" w:rsidP="00C31D8F">
      <w:pPr>
        <w:spacing w:after="0" w:line="240" w:lineRule="auto"/>
      </w:pPr>
      <w:r>
        <w:separator/>
      </w:r>
    </w:p>
  </w:footnote>
  <w:footnote w:type="continuationSeparator" w:id="0">
    <w:p w:rsidR="00F97019" w:rsidRDefault="00F97019" w:rsidP="00C3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CD" w:rsidRDefault="00FA51B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3663315</wp:posOffset>
          </wp:positionH>
          <wp:positionV relativeFrom="paragraph">
            <wp:posOffset>-344805</wp:posOffset>
          </wp:positionV>
          <wp:extent cx="1581150" cy="8096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A5FCD" w:rsidRDefault="006A5FC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147A"/>
    <w:multiLevelType w:val="hybridMultilevel"/>
    <w:tmpl w:val="59C66960"/>
    <w:lvl w:ilvl="0" w:tplc="94B209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3463F4A"/>
    <w:multiLevelType w:val="hybridMultilevel"/>
    <w:tmpl w:val="C3E849B2"/>
    <w:lvl w:ilvl="0" w:tplc="17A2F4A4">
      <w:start w:val="1"/>
      <w:numFmt w:val="decimal"/>
      <w:lvlText w:val="%1-"/>
      <w:lvlJc w:val="left"/>
      <w:pPr>
        <w:ind w:left="106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6D9C4531"/>
    <w:multiLevelType w:val="hybridMultilevel"/>
    <w:tmpl w:val="42AC56BA"/>
    <w:lvl w:ilvl="0" w:tplc="B5003A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EFE48AD"/>
    <w:multiLevelType w:val="hybridMultilevel"/>
    <w:tmpl w:val="F504508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1D8F"/>
    <w:rsid w:val="00026F11"/>
    <w:rsid w:val="0003536B"/>
    <w:rsid w:val="00045F94"/>
    <w:rsid w:val="000528DA"/>
    <w:rsid w:val="00080DD7"/>
    <w:rsid w:val="00093B43"/>
    <w:rsid w:val="000A540F"/>
    <w:rsid w:val="000C0073"/>
    <w:rsid w:val="000D2542"/>
    <w:rsid w:val="000D2986"/>
    <w:rsid w:val="000E0CFB"/>
    <w:rsid w:val="000F1477"/>
    <w:rsid w:val="00100CD0"/>
    <w:rsid w:val="001148D0"/>
    <w:rsid w:val="00120969"/>
    <w:rsid w:val="0012528F"/>
    <w:rsid w:val="0013610E"/>
    <w:rsid w:val="00154C87"/>
    <w:rsid w:val="00164300"/>
    <w:rsid w:val="00191F94"/>
    <w:rsid w:val="001A41DC"/>
    <w:rsid w:val="001B74D5"/>
    <w:rsid w:val="001C5E72"/>
    <w:rsid w:val="001E5F6A"/>
    <w:rsid w:val="001F7109"/>
    <w:rsid w:val="00207694"/>
    <w:rsid w:val="00207BCA"/>
    <w:rsid w:val="00272AA2"/>
    <w:rsid w:val="00273577"/>
    <w:rsid w:val="002A5C14"/>
    <w:rsid w:val="002F368A"/>
    <w:rsid w:val="00316903"/>
    <w:rsid w:val="00342AB2"/>
    <w:rsid w:val="0034714E"/>
    <w:rsid w:val="00360A33"/>
    <w:rsid w:val="00391420"/>
    <w:rsid w:val="003A772A"/>
    <w:rsid w:val="003C68AE"/>
    <w:rsid w:val="003D081F"/>
    <w:rsid w:val="003D1FA9"/>
    <w:rsid w:val="003E37CA"/>
    <w:rsid w:val="004015F5"/>
    <w:rsid w:val="00416027"/>
    <w:rsid w:val="00417E3F"/>
    <w:rsid w:val="00432502"/>
    <w:rsid w:val="00440ECC"/>
    <w:rsid w:val="00450B50"/>
    <w:rsid w:val="00450F04"/>
    <w:rsid w:val="00463158"/>
    <w:rsid w:val="0046770B"/>
    <w:rsid w:val="0047306E"/>
    <w:rsid w:val="0047397C"/>
    <w:rsid w:val="0047479A"/>
    <w:rsid w:val="004915B8"/>
    <w:rsid w:val="00494948"/>
    <w:rsid w:val="004B61BA"/>
    <w:rsid w:val="004D688A"/>
    <w:rsid w:val="004E0AD7"/>
    <w:rsid w:val="004E25C2"/>
    <w:rsid w:val="004F02B6"/>
    <w:rsid w:val="00506B2F"/>
    <w:rsid w:val="00512F14"/>
    <w:rsid w:val="00525BB8"/>
    <w:rsid w:val="00532204"/>
    <w:rsid w:val="00535ADB"/>
    <w:rsid w:val="00542CBD"/>
    <w:rsid w:val="00551648"/>
    <w:rsid w:val="005779F1"/>
    <w:rsid w:val="00584502"/>
    <w:rsid w:val="00591885"/>
    <w:rsid w:val="005A7598"/>
    <w:rsid w:val="005F1EE8"/>
    <w:rsid w:val="005F674A"/>
    <w:rsid w:val="0060111C"/>
    <w:rsid w:val="0061210D"/>
    <w:rsid w:val="006447FD"/>
    <w:rsid w:val="00656D4A"/>
    <w:rsid w:val="00666CB2"/>
    <w:rsid w:val="00693C64"/>
    <w:rsid w:val="006A5FCD"/>
    <w:rsid w:val="006B4E0F"/>
    <w:rsid w:val="006E0222"/>
    <w:rsid w:val="0074285E"/>
    <w:rsid w:val="007453BC"/>
    <w:rsid w:val="0075442B"/>
    <w:rsid w:val="007608C0"/>
    <w:rsid w:val="007C77F5"/>
    <w:rsid w:val="007D2137"/>
    <w:rsid w:val="008150EB"/>
    <w:rsid w:val="00841C8B"/>
    <w:rsid w:val="008471BA"/>
    <w:rsid w:val="00873794"/>
    <w:rsid w:val="008B2A79"/>
    <w:rsid w:val="008D7285"/>
    <w:rsid w:val="0090478F"/>
    <w:rsid w:val="00961D3A"/>
    <w:rsid w:val="00977E43"/>
    <w:rsid w:val="009B2355"/>
    <w:rsid w:val="009B793D"/>
    <w:rsid w:val="009C23F2"/>
    <w:rsid w:val="009E4D7E"/>
    <w:rsid w:val="009F6E0F"/>
    <w:rsid w:val="00A05D30"/>
    <w:rsid w:val="00A1327C"/>
    <w:rsid w:val="00A14757"/>
    <w:rsid w:val="00A458A1"/>
    <w:rsid w:val="00A473E4"/>
    <w:rsid w:val="00A61367"/>
    <w:rsid w:val="00A727DD"/>
    <w:rsid w:val="00A84D59"/>
    <w:rsid w:val="00AA1FDF"/>
    <w:rsid w:val="00AA256C"/>
    <w:rsid w:val="00B22AA2"/>
    <w:rsid w:val="00B35E9F"/>
    <w:rsid w:val="00B53E3B"/>
    <w:rsid w:val="00B57903"/>
    <w:rsid w:val="00B64BD0"/>
    <w:rsid w:val="00B76D16"/>
    <w:rsid w:val="00B95BCC"/>
    <w:rsid w:val="00BB11DB"/>
    <w:rsid w:val="00BC18DB"/>
    <w:rsid w:val="00BC7DAD"/>
    <w:rsid w:val="00BE4E7F"/>
    <w:rsid w:val="00C0419C"/>
    <w:rsid w:val="00C05061"/>
    <w:rsid w:val="00C05CBE"/>
    <w:rsid w:val="00C305F5"/>
    <w:rsid w:val="00C31D8F"/>
    <w:rsid w:val="00C341F8"/>
    <w:rsid w:val="00C34C06"/>
    <w:rsid w:val="00C35354"/>
    <w:rsid w:val="00C452D3"/>
    <w:rsid w:val="00C65360"/>
    <w:rsid w:val="00CA3695"/>
    <w:rsid w:val="00CA628C"/>
    <w:rsid w:val="00CB6BC9"/>
    <w:rsid w:val="00CE0771"/>
    <w:rsid w:val="00CE086A"/>
    <w:rsid w:val="00CF3996"/>
    <w:rsid w:val="00D00AD1"/>
    <w:rsid w:val="00D00C31"/>
    <w:rsid w:val="00D01F4B"/>
    <w:rsid w:val="00D20CFC"/>
    <w:rsid w:val="00D32CE2"/>
    <w:rsid w:val="00D43EA2"/>
    <w:rsid w:val="00D61800"/>
    <w:rsid w:val="00D64F98"/>
    <w:rsid w:val="00D71412"/>
    <w:rsid w:val="00D75619"/>
    <w:rsid w:val="00D81877"/>
    <w:rsid w:val="00D960D7"/>
    <w:rsid w:val="00DB765F"/>
    <w:rsid w:val="00DC6661"/>
    <w:rsid w:val="00DE1B5F"/>
    <w:rsid w:val="00DE5E80"/>
    <w:rsid w:val="00DE7F73"/>
    <w:rsid w:val="00DF4535"/>
    <w:rsid w:val="00E0372F"/>
    <w:rsid w:val="00E1150D"/>
    <w:rsid w:val="00E31653"/>
    <w:rsid w:val="00E405BE"/>
    <w:rsid w:val="00E46ECF"/>
    <w:rsid w:val="00E75A04"/>
    <w:rsid w:val="00EA5433"/>
    <w:rsid w:val="00ED5884"/>
    <w:rsid w:val="00EF2659"/>
    <w:rsid w:val="00F003C1"/>
    <w:rsid w:val="00F63B71"/>
    <w:rsid w:val="00F85678"/>
    <w:rsid w:val="00F85EAC"/>
    <w:rsid w:val="00F97019"/>
    <w:rsid w:val="00FA0975"/>
    <w:rsid w:val="00FA51B8"/>
    <w:rsid w:val="00FB3EA7"/>
    <w:rsid w:val="00FC669A"/>
    <w:rsid w:val="00FC72F4"/>
    <w:rsid w:val="00FD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DA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link w:val="Ttulo2Car"/>
    <w:uiPriority w:val="99"/>
    <w:qFormat/>
    <w:locked/>
    <w:rsid w:val="00ED5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D5884"/>
    <w:rPr>
      <w:rFonts w:ascii="Times New Roman" w:hAnsi="Times New Roman" w:cs="Times New Roman"/>
      <w:b/>
      <w:bCs/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rsid w:val="00C3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31D8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31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31D8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31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31D8F"/>
    <w:rPr>
      <w:rFonts w:cs="Times New Roman"/>
    </w:rPr>
  </w:style>
  <w:style w:type="table" w:styleId="Tablaconcuadrcula">
    <w:name w:val="Table Grid"/>
    <w:basedOn w:val="Tablanormal"/>
    <w:uiPriority w:val="99"/>
    <w:rsid w:val="00DE5E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FD4D2A"/>
    <w:pPr>
      <w:ind w:left="720"/>
    </w:pPr>
  </w:style>
  <w:style w:type="character" w:styleId="Refdecomentario">
    <w:name w:val="annotation reference"/>
    <w:basedOn w:val="Fuentedeprrafopredeter"/>
    <w:uiPriority w:val="99"/>
    <w:semiHidden/>
    <w:rsid w:val="00E46EC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6E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46ECF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6E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46ECF"/>
    <w:rPr>
      <w:rFonts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rsid w:val="00C0419C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locked/>
    <w:rsid w:val="00CE086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.es/ArchivosDESCARGABLES/proc_seleccion_lider_panelistas2015_unificado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r.es/ArchivosDESCARGABLES/10_Normas-SER_GPC-Consensos_def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r.es/ArchivosDESCARGABLES/Panelistas/DI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r.es/ArchivosDESCARGABLES/Panelistas/ModeloCV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yectos@ser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ACTUALIZACIÓN DEL DOCUMENTO DE CONSENSO DE LA SOCIEDAD ESPAÑOLA DE REUMATOLOGÍA SOBRE EL USO DE TERAPIAS BIOLÓGICA</vt:lpstr>
    </vt:vector>
  </TitlesOfParts>
  <Company>Microsoft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ACTUALIZACIÓN DEL DOCUMENTO DE CONSENSO DE LA SOCIEDAD ESPAÑOLA DE REUMATOLOGÍA SOBRE EL USO DE TERAPIAS BIOLÓGICA</dc:title>
  <dc:creator>susana</dc:creator>
  <cp:lastModifiedBy>SONIA</cp:lastModifiedBy>
  <cp:revision>3</cp:revision>
  <cp:lastPrinted>2014-11-27T16:33:00Z</cp:lastPrinted>
  <dcterms:created xsi:type="dcterms:W3CDTF">2015-06-22T11:50:00Z</dcterms:created>
  <dcterms:modified xsi:type="dcterms:W3CDTF">2015-06-22T11:51:00Z</dcterms:modified>
</cp:coreProperties>
</file>