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65" w:rsidRDefault="007E5765" w:rsidP="007E5765">
      <w:pPr>
        <w:pStyle w:val="Default"/>
      </w:pPr>
    </w:p>
    <w:p w:rsidR="007E5765" w:rsidRPr="007E5765" w:rsidRDefault="007E5765" w:rsidP="007E5765">
      <w:pPr>
        <w:pStyle w:val="Pa23"/>
        <w:ind w:left="280"/>
        <w:rPr>
          <w:sz w:val="23"/>
          <w:szCs w:val="23"/>
          <w:lang w:val="en-US"/>
        </w:rPr>
      </w:pPr>
      <w:r w:rsidRPr="007E5765">
        <w:rPr>
          <w:rStyle w:val="A6"/>
          <w:rFonts w:cstheme="minorBidi"/>
          <w:color w:val="auto"/>
          <w:lang w:val="en-US"/>
        </w:rPr>
        <w:t xml:space="preserve">LEI examination points: </w:t>
      </w:r>
    </w:p>
    <w:p w:rsidR="007E5765" w:rsidRPr="007E5765" w:rsidRDefault="007E5765" w:rsidP="007E5765">
      <w:pPr>
        <w:pStyle w:val="Pa24"/>
        <w:spacing w:after="40"/>
        <w:ind w:left="280" w:right="28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• Lateral epicondyle, left and right </w:t>
      </w:r>
    </w:p>
    <w:p w:rsidR="007E5765" w:rsidRPr="007E5765" w:rsidRDefault="007E5765" w:rsidP="007E5765">
      <w:pPr>
        <w:pStyle w:val="Pa56"/>
        <w:spacing w:after="40"/>
        <w:ind w:left="780" w:right="280" w:hanging="10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- This examination is performed with the patient’s arm flexed at 90° </w:t>
      </w:r>
    </w:p>
    <w:p w:rsidR="007E5765" w:rsidRPr="007E5765" w:rsidRDefault="007E5765" w:rsidP="007E5765">
      <w:pPr>
        <w:pStyle w:val="Pa56"/>
        <w:spacing w:after="40"/>
        <w:ind w:left="780" w:right="280" w:hanging="10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- The thumb is pressed on the lateral epicondyle with the fingers underneath for support. Pressure, sufficient to blanch the nail is exerted and the enthesis examined for tenderness </w:t>
      </w:r>
    </w:p>
    <w:p w:rsidR="007E5765" w:rsidRPr="007E5765" w:rsidRDefault="007E5765" w:rsidP="007E5765">
      <w:pPr>
        <w:pStyle w:val="Pa24"/>
        <w:spacing w:after="40"/>
        <w:ind w:left="280" w:right="28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• Medial femoral condyle, left and right </w:t>
      </w:r>
    </w:p>
    <w:p w:rsidR="007E5765" w:rsidRPr="007E5765" w:rsidRDefault="007E5765" w:rsidP="007E5765">
      <w:pPr>
        <w:pStyle w:val="Pa57"/>
        <w:spacing w:after="40"/>
        <w:ind w:left="780" w:right="280" w:hanging="16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- Find the joint line of the knee. Move the fingers approximately 2.5 cm (1 inch) proximal to this to locate the bony diffuse swelling on the medial femoral condyle </w:t>
      </w:r>
    </w:p>
    <w:p w:rsidR="007E5765" w:rsidRPr="007E5765" w:rsidRDefault="007E5765" w:rsidP="007E5765">
      <w:pPr>
        <w:pStyle w:val="Pa57"/>
        <w:spacing w:after="40"/>
        <w:ind w:left="780" w:right="280" w:hanging="16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- The thumb is pressed on the medial femoral condyle, sufficient to blanch the nail and the enthesis examined for tenderness </w:t>
      </w:r>
    </w:p>
    <w:p w:rsidR="007E5765" w:rsidRPr="007E5765" w:rsidRDefault="007E5765" w:rsidP="007E5765">
      <w:pPr>
        <w:pStyle w:val="Pa24"/>
        <w:spacing w:after="40"/>
        <w:ind w:left="280" w:right="28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• Achilles tendon insertion, left and right </w:t>
      </w:r>
    </w:p>
    <w:p w:rsidR="007E5765" w:rsidRPr="007E5765" w:rsidRDefault="007E5765" w:rsidP="007E5765">
      <w:pPr>
        <w:pStyle w:val="Pa56"/>
        <w:spacing w:after="40"/>
        <w:ind w:left="780" w:right="280" w:hanging="100"/>
        <w:rPr>
          <w:sz w:val="19"/>
          <w:szCs w:val="19"/>
          <w:lang w:val="en-US"/>
        </w:rPr>
      </w:pPr>
      <w:r w:rsidRPr="007E5765">
        <w:rPr>
          <w:sz w:val="19"/>
          <w:szCs w:val="19"/>
          <w:lang w:val="en-US"/>
        </w:rPr>
        <w:t xml:space="preserve">- The Achilles tendon insertion can be located by following the Achilles tendon down until it inserts </w:t>
      </w:r>
    </w:p>
    <w:p w:rsidR="007E5765" w:rsidRPr="007E5765" w:rsidRDefault="007E5765" w:rsidP="007E5765">
      <w:pPr>
        <w:pStyle w:val="Default"/>
        <w:spacing w:after="160" w:line="191" w:lineRule="atLeast"/>
        <w:ind w:left="780" w:right="280" w:hanging="100"/>
        <w:rPr>
          <w:rFonts w:cstheme="minorBidi"/>
          <w:color w:val="auto"/>
          <w:sz w:val="19"/>
          <w:szCs w:val="19"/>
          <w:lang w:val="en-US"/>
        </w:rPr>
      </w:pPr>
      <w:r w:rsidRPr="007E5765">
        <w:rPr>
          <w:rFonts w:cstheme="minorBidi"/>
          <w:color w:val="auto"/>
          <w:sz w:val="19"/>
          <w:szCs w:val="19"/>
          <w:lang w:val="en-US"/>
        </w:rPr>
        <w:t xml:space="preserve">- Place the thumb on the insertion site with pressure sufficient to blanch the nail and assessed for tenderness. </w:t>
      </w:r>
    </w:p>
    <w:p w:rsidR="007E5765" w:rsidRPr="007E5765" w:rsidRDefault="007E5765" w:rsidP="007E5765">
      <w:pPr>
        <w:pStyle w:val="Pa59"/>
        <w:spacing w:after="40"/>
        <w:rPr>
          <w:rFonts w:ascii="HelveticaNeueLT Std" w:hAnsi="HelveticaNeueLT Std" w:cs="HelveticaNeueLT Std"/>
          <w:sz w:val="19"/>
          <w:szCs w:val="19"/>
          <w:lang w:val="en-US"/>
        </w:rPr>
      </w:pPr>
      <w:r w:rsidRPr="007E5765">
        <w:rPr>
          <w:rFonts w:ascii="HelveticaNeueLT Std" w:hAnsi="HelveticaNeueLT Std" w:cs="HelveticaNeueLT Std"/>
          <w:sz w:val="19"/>
          <w:szCs w:val="19"/>
          <w:lang w:val="en-US"/>
        </w:rPr>
        <w:t xml:space="preserve">When examining the entheses, pressure should be exerted at the enthesis sufficient to blanch the finger nail of the examiner. In addition the presence of soft-tissue swelling at the enthesis should also be assessed. For each entheseal site, assessment is made of the adjacent joint in terms of tenderness and soft-tissue swelling. </w:t>
      </w:r>
    </w:p>
    <w:p w:rsidR="007E5765" w:rsidRPr="007E5765" w:rsidRDefault="007E5765" w:rsidP="007E5765">
      <w:pPr>
        <w:pStyle w:val="Pa3"/>
        <w:rPr>
          <w:rFonts w:ascii="HelveticaNeueLT Std" w:hAnsi="HelveticaNeueLT Std" w:cs="HelveticaNeueLT Std"/>
          <w:sz w:val="19"/>
          <w:szCs w:val="19"/>
          <w:lang w:val="en-US"/>
        </w:rPr>
      </w:pPr>
      <w:r w:rsidRPr="007E5765">
        <w:rPr>
          <w:rFonts w:ascii="HelveticaNeueLT Std" w:hAnsi="HelveticaNeueLT Std" w:cs="HelveticaNeueLT Std"/>
          <w:sz w:val="19"/>
          <w:szCs w:val="19"/>
          <w:lang w:val="en-US"/>
        </w:rPr>
        <w:t xml:space="preserve">Careful attention should be made to try and distinguish swelling and tenderness separately at the joint and the juxta-articular enthesis. </w:t>
      </w:r>
    </w:p>
    <w:p w:rsidR="002658F7" w:rsidRPr="007E5765" w:rsidRDefault="007E5765" w:rsidP="007E5765">
      <w:pPr>
        <w:rPr>
          <w:lang w:val="en-US"/>
        </w:rPr>
      </w:pPr>
      <w:r w:rsidRPr="007E5765">
        <w:rPr>
          <w:rFonts w:ascii="HelveticaNeueLT Std" w:hAnsi="HelveticaNeueLT Std" w:cs="HelveticaNeueLT Std"/>
          <w:sz w:val="19"/>
          <w:szCs w:val="19"/>
          <w:lang w:val="en-US"/>
        </w:rPr>
        <w:t>The LEI score range is 0-6.</w:t>
      </w:r>
      <w:bookmarkStart w:id="0" w:name="_GoBack"/>
      <w:bookmarkEnd w:id="0"/>
    </w:p>
    <w:sectPr w:rsidR="002658F7" w:rsidRPr="007E5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65"/>
    <w:rsid w:val="002658F7"/>
    <w:rsid w:val="007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B7DEE-094A-4B32-B757-A67167AF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E5765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7E5765"/>
    <w:pPr>
      <w:spacing w:line="19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7E5765"/>
    <w:rPr>
      <w:rFonts w:cs="HelveticaNeueLT Std Med"/>
      <w:color w:val="000000"/>
      <w:sz w:val="23"/>
      <w:szCs w:val="23"/>
    </w:rPr>
  </w:style>
  <w:style w:type="paragraph" w:customStyle="1" w:styleId="Pa24">
    <w:name w:val="Pa24"/>
    <w:basedOn w:val="Default"/>
    <w:next w:val="Default"/>
    <w:uiPriority w:val="99"/>
    <w:rsid w:val="007E5765"/>
    <w:pPr>
      <w:spacing w:line="191" w:lineRule="atLeast"/>
    </w:pPr>
    <w:rPr>
      <w:rFonts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7E5765"/>
    <w:pPr>
      <w:spacing w:line="19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7E5765"/>
    <w:pPr>
      <w:spacing w:line="19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7E5765"/>
    <w:pPr>
      <w:spacing w:line="19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E5765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Rotante</dc:creator>
  <cp:keywords/>
  <dc:description/>
  <cp:lastModifiedBy>Rotante</cp:lastModifiedBy>
  <cp:revision>1</cp:revision>
  <dcterms:created xsi:type="dcterms:W3CDTF">2016-06-14T11:34:00Z</dcterms:created>
  <dcterms:modified xsi:type="dcterms:W3CDTF">2016-06-14T11:38:00Z</dcterms:modified>
</cp:coreProperties>
</file>